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19D" w:rsidRPr="0084619D" w:rsidRDefault="0084619D" w:rsidP="0084619D">
      <w:pPr>
        <w:jc w:val="both"/>
        <w:rPr>
          <w:rFonts w:ascii="Times New Roman" w:hAnsi="Times New Roman" w:cs="Times New Roman"/>
          <w:sz w:val="24"/>
          <w:szCs w:val="24"/>
        </w:rPr>
      </w:pPr>
    </w:p>
    <w:p w:rsidR="0084619D" w:rsidRPr="0084619D" w:rsidRDefault="0084619D" w:rsidP="0084619D">
      <w:pPr>
        <w:spacing w:after="0" w:line="240" w:lineRule="auto"/>
        <w:jc w:val="center"/>
        <w:rPr>
          <w:rFonts w:ascii="Times New Roman" w:eastAsia="Times New Roman" w:hAnsi="Times New Roman" w:cs="Times New Roman"/>
          <w:b/>
          <w:bCs/>
          <w:sz w:val="24"/>
          <w:szCs w:val="24"/>
          <w:lang w:eastAsia="es-CO"/>
        </w:rPr>
      </w:pPr>
      <w:r w:rsidRPr="0084619D">
        <w:rPr>
          <w:rFonts w:ascii="Times New Roman" w:eastAsia="Times New Roman" w:hAnsi="Times New Roman" w:cs="Times New Roman"/>
          <w:b/>
          <w:bCs/>
          <w:sz w:val="24"/>
          <w:szCs w:val="24"/>
          <w:lang w:eastAsia="es-CO"/>
        </w:rPr>
        <w:t>Oficio N° 220-121540</w:t>
      </w:r>
    </w:p>
    <w:p w:rsidR="0084619D" w:rsidRPr="0084619D" w:rsidRDefault="0084619D" w:rsidP="0084619D">
      <w:pPr>
        <w:spacing w:after="0" w:line="240" w:lineRule="auto"/>
        <w:jc w:val="center"/>
        <w:rPr>
          <w:rFonts w:ascii="Times New Roman" w:eastAsia="Times New Roman" w:hAnsi="Times New Roman" w:cs="Times New Roman"/>
          <w:b/>
          <w:bCs/>
          <w:sz w:val="24"/>
          <w:szCs w:val="24"/>
          <w:lang w:eastAsia="es-CO"/>
        </w:rPr>
      </w:pPr>
      <w:r w:rsidRPr="0084619D">
        <w:rPr>
          <w:rFonts w:ascii="Times New Roman" w:eastAsia="Times New Roman" w:hAnsi="Times New Roman" w:cs="Times New Roman"/>
          <w:b/>
          <w:bCs/>
          <w:sz w:val="24"/>
          <w:szCs w:val="24"/>
          <w:lang w:eastAsia="es-CO"/>
        </w:rPr>
        <w:t>03-09-2013</w:t>
      </w:r>
    </w:p>
    <w:p w:rsidR="0084619D" w:rsidRPr="0084619D" w:rsidRDefault="0084619D" w:rsidP="0084619D">
      <w:pPr>
        <w:spacing w:after="0" w:line="240" w:lineRule="auto"/>
        <w:jc w:val="center"/>
        <w:rPr>
          <w:rFonts w:ascii="Times New Roman" w:eastAsia="Times New Roman" w:hAnsi="Times New Roman" w:cs="Times New Roman"/>
          <w:b/>
          <w:bCs/>
          <w:sz w:val="24"/>
          <w:szCs w:val="24"/>
          <w:lang w:eastAsia="es-CO"/>
        </w:rPr>
      </w:pPr>
      <w:r w:rsidRPr="0084619D">
        <w:rPr>
          <w:rFonts w:ascii="Times New Roman" w:eastAsia="Times New Roman" w:hAnsi="Times New Roman" w:cs="Times New Roman"/>
          <w:b/>
          <w:bCs/>
          <w:sz w:val="24"/>
          <w:szCs w:val="24"/>
          <w:lang w:eastAsia="es-CO"/>
        </w:rPr>
        <w:t>Superintendencia de Sociedades</w:t>
      </w: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jc w:val="both"/>
        <w:rPr>
          <w:rFonts w:ascii="Times New Roman" w:eastAsia="Times New Roman" w:hAnsi="Times New Roman" w:cs="Times New Roman"/>
          <w:b/>
          <w:sz w:val="24"/>
          <w:szCs w:val="24"/>
          <w:lang w:eastAsia="es-CO"/>
        </w:rPr>
      </w:pPr>
    </w:p>
    <w:p w:rsidR="0084619D" w:rsidRPr="0084619D" w:rsidRDefault="0084619D" w:rsidP="0084619D">
      <w:pPr>
        <w:spacing w:after="0" w:line="240" w:lineRule="auto"/>
        <w:jc w:val="both"/>
        <w:rPr>
          <w:rFonts w:ascii="Times New Roman" w:eastAsia="Times New Roman" w:hAnsi="Times New Roman" w:cs="Times New Roman"/>
          <w:b/>
          <w:bCs/>
          <w:sz w:val="24"/>
          <w:szCs w:val="24"/>
          <w:lang w:eastAsia="es-CO"/>
        </w:rPr>
      </w:pPr>
      <w:r w:rsidRPr="0084619D">
        <w:rPr>
          <w:rFonts w:ascii="Times New Roman" w:eastAsia="Times New Roman" w:hAnsi="Times New Roman" w:cs="Times New Roman"/>
          <w:b/>
          <w:bCs/>
          <w:sz w:val="24"/>
          <w:szCs w:val="24"/>
          <w:lang w:eastAsia="es-CO"/>
        </w:rPr>
        <w:t>ASUNTO: libros de comercio pueden llevarse en medios físicos o electrónicos.</w:t>
      </w: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r w:rsidRPr="0084619D">
        <w:rPr>
          <w:rFonts w:ascii="Times New Roman" w:eastAsia="Times New Roman" w:hAnsi="Times New Roman" w:cs="Times New Roman"/>
          <w:sz w:val="24"/>
          <w:szCs w:val="24"/>
          <w:lang w:eastAsia="es-CO"/>
        </w:rPr>
        <w:t>Me refiero a su escrito radicado con el número 2012-01-279772, mediante el cual consulta lo siguiente: “Compramos un paquete que contiene un medio de guardar todo archivo en forma virtual la nube.</w:t>
      </w: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r w:rsidRPr="0084619D">
        <w:rPr>
          <w:rFonts w:ascii="Times New Roman" w:eastAsia="Times New Roman" w:hAnsi="Times New Roman" w:cs="Times New Roman"/>
          <w:sz w:val="24"/>
          <w:szCs w:val="24"/>
          <w:lang w:eastAsia="es-CO"/>
        </w:rPr>
        <w:t xml:space="preserve">Cuando nos llega por ejemplo un documento de la Dian, lo escaneamos y lo enviamos a la nube, cuando se necesite la imprimimos esto ocasiona que no tenga un archivo físico y no se utilice tanto papel…. esto es correcto, lo podemos hacer y cuando se necesite como medio de pruebe ante cualquier ente es completamente </w:t>
      </w:r>
      <w:proofErr w:type="gramStart"/>
      <w:r w:rsidRPr="0084619D">
        <w:rPr>
          <w:rFonts w:ascii="Times New Roman" w:eastAsia="Times New Roman" w:hAnsi="Times New Roman" w:cs="Times New Roman"/>
          <w:sz w:val="24"/>
          <w:szCs w:val="24"/>
          <w:lang w:eastAsia="es-CO"/>
        </w:rPr>
        <w:t>legal ????</w:t>
      </w:r>
      <w:proofErr w:type="gramEnd"/>
      <w:r w:rsidRPr="0084619D">
        <w:rPr>
          <w:rFonts w:ascii="Times New Roman" w:eastAsia="Times New Roman" w:hAnsi="Times New Roman" w:cs="Times New Roman"/>
          <w:sz w:val="24"/>
          <w:szCs w:val="24"/>
          <w:lang w:eastAsia="es-CO"/>
        </w:rPr>
        <w:t xml:space="preserve"> ¿Qué documentos legalmente deben seguirse llevando físicamente</w:t>
      </w:r>
      <w:proofErr w:type="gramStart"/>
      <w:r w:rsidRPr="0084619D">
        <w:rPr>
          <w:rFonts w:ascii="Times New Roman" w:eastAsia="Times New Roman" w:hAnsi="Times New Roman" w:cs="Times New Roman"/>
          <w:sz w:val="24"/>
          <w:szCs w:val="24"/>
          <w:lang w:eastAsia="es-CO"/>
        </w:rPr>
        <w:t>?.</w:t>
      </w:r>
      <w:proofErr w:type="gramEnd"/>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r w:rsidRPr="0084619D">
        <w:rPr>
          <w:rFonts w:ascii="Times New Roman" w:eastAsia="Times New Roman" w:hAnsi="Times New Roman" w:cs="Times New Roman"/>
          <w:sz w:val="24"/>
          <w:szCs w:val="24"/>
          <w:lang w:eastAsia="es-CO"/>
        </w:rPr>
        <w:t>Al respecto, me permito manifestarle que el artículo 56 del Código de Comercio fue modificado por el artículo 173 del Decreto 019 de 2012, que dispuso lo siguiente:</w:t>
      </w: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r w:rsidRPr="0084619D">
        <w:rPr>
          <w:rFonts w:ascii="Times New Roman" w:eastAsia="Times New Roman" w:hAnsi="Times New Roman" w:cs="Times New Roman"/>
          <w:sz w:val="24"/>
          <w:szCs w:val="24"/>
          <w:lang w:eastAsia="es-CO"/>
        </w:rPr>
        <w:t>“Los libros podrán ser de hojas removibles o formarse por series continuas de tarjetas, siempre que unas y otras estén numeradas, puedan conservarse archivadas en orden y aparezcan autenticadas conforme a la reglamentación del Gobierno.</w:t>
      </w: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r w:rsidRPr="0084619D">
        <w:rPr>
          <w:rFonts w:ascii="Times New Roman" w:eastAsia="Times New Roman" w:hAnsi="Times New Roman" w:cs="Times New Roman"/>
          <w:sz w:val="24"/>
          <w:szCs w:val="24"/>
          <w:lang w:eastAsia="es-CO"/>
        </w:rPr>
        <w:t>Los libros podrán llevarse en archivos electrónicos, que garanticen en forma ordenada la inalterabilidad, la integridad y seguridad de la información, así como su conservación. El registro de los libros electrónicos se adelantará de acuerdo con la reglamentación que expida el gobierno Nacional”</w:t>
      </w: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r w:rsidRPr="0084619D">
        <w:rPr>
          <w:rFonts w:ascii="Times New Roman" w:eastAsia="Times New Roman" w:hAnsi="Times New Roman" w:cs="Times New Roman"/>
          <w:sz w:val="24"/>
          <w:szCs w:val="24"/>
          <w:lang w:eastAsia="es-CO"/>
        </w:rPr>
        <w:t xml:space="preserve">Acorde con lo expresado, el Gobierno Nacional expidió el Decreto número 08056 del 24 de abril de 2013, mediante el cual reglamentó el artículo 173 del mencionado decreto, en desarrollo del cual, esta Superintendencia expidió la Circular D-100-0001 del 12 de marzo de 2012, algunos de cuyos apartes, a continuación se transcriben y que podrá consultar en la página web en la siguiente dirección: </w:t>
      </w:r>
      <w:hyperlink r:id="rId5" w:history="1">
        <w:r w:rsidRPr="0084619D">
          <w:rPr>
            <w:rFonts w:ascii="Times New Roman" w:eastAsia="Times New Roman" w:hAnsi="Times New Roman" w:cs="Times New Roman"/>
            <w:sz w:val="24"/>
            <w:szCs w:val="24"/>
            <w:lang w:eastAsia="es-CO"/>
          </w:rPr>
          <w:t>www.supersociedades.gov.co</w:t>
        </w:r>
      </w:hyperlink>
      <w:r w:rsidRPr="0084619D">
        <w:rPr>
          <w:rFonts w:ascii="Times New Roman" w:eastAsia="Times New Roman" w:hAnsi="Times New Roman" w:cs="Times New Roman"/>
          <w:sz w:val="24"/>
          <w:szCs w:val="24"/>
          <w:lang w:eastAsia="es-CO"/>
        </w:rPr>
        <w:t>.</w:t>
      </w: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jc w:val="both"/>
        <w:rPr>
          <w:rFonts w:ascii="Times New Roman" w:eastAsia="Times New Roman" w:hAnsi="Times New Roman" w:cs="Times New Roman"/>
          <w:b/>
          <w:bCs/>
          <w:sz w:val="24"/>
          <w:szCs w:val="24"/>
          <w:lang w:eastAsia="es-CO"/>
        </w:rPr>
      </w:pPr>
      <w:r w:rsidRPr="0084619D">
        <w:rPr>
          <w:rFonts w:ascii="Times New Roman" w:eastAsia="Times New Roman" w:hAnsi="Times New Roman" w:cs="Times New Roman"/>
          <w:b/>
          <w:bCs/>
          <w:sz w:val="24"/>
          <w:szCs w:val="24"/>
          <w:lang w:eastAsia="es-CO"/>
        </w:rPr>
        <w:t>“1 REQUISITOS DE LOS ARCHIVOS ELECTRÓNICOS – APLICACIÓN DE LA LEY 527 DE 1999</w:t>
      </w: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r w:rsidRPr="0084619D">
        <w:rPr>
          <w:rFonts w:ascii="Times New Roman" w:eastAsia="Times New Roman" w:hAnsi="Times New Roman" w:cs="Times New Roman"/>
          <w:sz w:val="24"/>
          <w:szCs w:val="24"/>
          <w:lang w:eastAsia="es-CO"/>
        </w:rPr>
        <w:t>Los libros de contabilidad pueden ser llevados en archivos electrónicos y su almacenamiento debe garantizar que la información sea completa e inalterada. La conservación de los registros electrónicos seguirá las condiciones establecidas en el artículo 12 de la Ley 527 de 1999, cuales son:</w:t>
      </w:r>
    </w:p>
    <w:p w:rsidR="0084619D" w:rsidRPr="0084619D" w:rsidRDefault="0084619D" w:rsidP="0084619D">
      <w:pPr>
        <w:spacing w:after="0" w:line="240" w:lineRule="auto"/>
        <w:ind w:left="284"/>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ind w:left="284"/>
        <w:jc w:val="both"/>
        <w:rPr>
          <w:rFonts w:ascii="Times New Roman" w:eastAsia="Times New Roman" w:hAnsi="Times New Roman" w:cs="Times New Roman"/>
          <w:sz w:val="24"/>
          <w:szCs w:val="24"/>
          <w:lang w:eastAsia="es-CO"/>
        </w:rPr>
      </w:pPr>
      <w:r w:rsidRPr="0084619D">
        <w:rPr>
          <w:rFonts w:ascii="Times New Roman" w:eastAsia="Times New Roman" w:hAnsi="Times New Roman" w:cs="Times New Roman"/>
          <w:sz w:val="24"/>
          <w:szCs w:val="24"/>
          <w:lang w:eastAsia="es-CO"/>
        </w:rPr>
        <w:t>1. Que la información que contenga sea accesible para su posterior consulta,</w:t>
      </w:r>
    </w:p>
    <w:p w:rsidR="0084619D" w:rsidRPr="0084619D" w:rsidRDefault="0084619D" w:rsidP="0084619D">
      <w:pPr>
        <w:spacing w:after="0" w:line="240" w:lineRule="auto"/>
        <w:ind w:left="284"/>
        <w:jc w:val="both"/>
        <w:rPr>
          <w:rFonts w:ascii="Times New Roman" w:eastAsia="Times New Roman" w:hAnsi="Times New Roman" w:cs="Times New Roman"/>
          <w:sz w:val="24"/>
          <w:szCs w:val="24"/>
          <w:lang w:eastAsia="es-CO"/>
        </w:rPr>
      </w:pPr>
      <w:r w:rsidRPr="0084619D">
        <w:rPr>
          <w:rFonts w:ascii="Times New Roman" w:eastAsia="Times New Roman" w:hAnsi="Times New Roman" w:cs="Times New Roman"/>
          <w:sz w:val="24"/>
          <w:szCs w:val="24"/>
          <w:lang w:eastAsia="es-CO"/>
        </w:rPr>
        <w:lastRenderedPageBreak/>
        <w:t>2. Que el mensaje de datos o el documento sea conservado en el formato que se haya generado,</w:t>
      </w:r>
    </w:p>
    <w:p w:rsidR="0084619D" w:rsidRPr="0084619D" w:rsidRDefault="0084619D" w:rsidP="0084619D">
      <w:pPr>
        <w:spacing w:after="0" w:line="240" w:lineRule="auto"/>
        <w:ind w:left="284"/>
        <w:jc w:val="both"/>
        <w:rPr>
          <w:rFonts w:ascii="Times New Roman" w:eastAsia="Times New Roman" w:hAnsi="Times New Roman" w:cs="Times New Roman"/>
          <w:sz w:val="24"/>
          <w:szCs w:val="24"/>
          <w:lang w:eastAsia="es-CO"/>
        </w:rPr>
      </w:pPr>
      <w:r w:rsidRPr="0084619D">
        <w:rPr>
          <w:rFonts w:ascii="Times New Roman" w:eastAsia="Times New Roman" w:hAnsi="Times New Roman" w:cs="Times New Roman"/>
          <w:sz w:val="24"/>
          <w:szCs w:val="24"/>
          <w:lang w:eastAsia="es-CO"/>
        </w:rPr>
        <w:t>3. Que permita determinar el origen, la fecha y hora en que fue producido el documento.</w:t>
      </w: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r w:rsidRPr="0084619D">
        <w:rPr>
          <w:rFonts w:ascii="Times New Roman" w:eastAsia="Times New Roman" w:hAnsi="Times New Roman" w:cs="Times New Roman"/>
          <w:sz w:val="24"/>
          <w:szCs w:val="24"/>
          <w:lang w:eastAsia="es-CO"/>
        </w:rPr>
        <w:t>La conservación de la información financiera podrá realizarse directamente o a través de terceros siempre y cuando cumpla con las condiciones que fueron mencionadas.</w:t>
      </w: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r w:rsidRPr="0084619D">
        <w:rPr>
          <w:rFonts w:ascii="Times New Roman" w:eastAsia="Times New Roman" w:hAnsi="Times New Roman" w:cs="Times New Roman"/>
          <w:sz w:val="24"/>
          <w:szCs w:val="24"/>
          <w:lang w:eastAsia="es-CO"/>
        </w:rPr>
        <w:t>Resulta conveniente que los administradores implementen estrategias de respaldo de la información, que minimicen una eventual pérdida de datos.</w:t>
      </w:r>
    </w:p>
    <w:p w:rsidR="0084619D" w:rsidRPr="0084619D" w:rsidRDefault="0084619D" w:rsidP="0084619D">
      <w:pPr>
        <w:jc w:val="both"/>
        <w:rPr>
          <w:rFonts w:ascii="Times New Roman" w:hAnsi="Times New Roman" w:cs="Times New Roman"/>
          <w:sz w:val="24"/>
          <w:szCs w:val="24"/>
        </w:rPr>
      </w:pPr>
      <w:bookmarkStart w:id="0" w:name="_GoBack"/>
      <w:bookmarkEnd w:id="0"/>
    </w:p>
    <w:p w:rsidR="0084619D" w:rsidRPr="0084619D" w:rsidRDefault="0084619D" w:rsidP="0084619D">
      <w:pPr>
        <w:spacing w:after="0" w:line="240" w:lineRule="auto"/>
        <w:ind w:left="284"/>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ind w:left="284"/>
        <w:jc w:val="both"/>
        <w:rPr>
          <w:rFonts w:ascii="Times New Roman" w:eastAsia="Times New Roman" w:hAnsi="Times New Roman" w:cs="Times New Roman"/>
          <w:sz w:val="24"/>
          <w:szCs w:val="24"/>
          <w:lang w:eastAsia="es-CO"/>
        </w:rPr>
      </w:pPr>
      <w:r w:rsidRPr="0084619D">
        <w:rPr>
          <w:rFonts w:ascii="Times New Roman" w:eastAsia="Times New Roman" w:hAnsi="Times New Roman" w:cs="Times New Roman"/>
          <w:b/>
          <w:bCs/>
          <w:sz w:val="24"/>
          <w:szCs w:val="24"/>
          <w:lang w:eastAsia="es-CO"/>
        </w:rPr>
        <w:t>2 VALIDEZ PROBATORIA DE LOS REGISTROS DE CONTABILIDAD Y LIBROS DE ACTAS DE JUNTA DIRECTIVA EN ARCHIVOS ELECTRÓNICOS</w:t>
      </w: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r w:rsidRPr="0084619D">
        <w:rPr>
          <w:rFonts w:ascii="Times New Roman" w:eastAsia="Times New Roman" w:hAnsi="Times New Roman" w:cs="Times New Roman"/>
          <w:sz w:val="24"/>
          <w:szCs w:val="24"/>
          <w:lang w:eastAsia="es-CO"/>
        </w:rPr>
        <w:t>A la luz de los artículos 10 y 11 de la Ley 527 de 1999, los libros de contabilidad registrados en archivos electrónicos son admisibles como medios de prueba y para su valoración se seguirán “las reglas de la sana crítica y demás criterios reconocidos legalmente para la apreciación de las pruebas. Por consiguiente habrán de tenerse en cuenta: la confiabilidad en la forma en que se haya conservado la integridad de la información, la forma en la que se identifique a su iniciador y cualquier otro factor pertinente.”</w:t>
      </w: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r w:rsidRPr="0084619D">
        <w:rPr>
          <w:rFonts w:ascii="Times New Roman" w:eastAsia="Times New Roman" w:hAnsi="Times New Roman" w:cs="Times New Roman"/>
          <w:sz w:val="24"/>
          <w:szCs w:val="24"/>
          <w:lang w:eastAsia="es-CO"/>
        </w:rPr>
        <w:t>De lo dicho se infiere que los archivos pueden ser físicos o llevarse en medios electrónicos, pero en cualquier caso, debe garantizarse que la información sea completa e inalterada.</w:t>
      </w: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r w:rsidRPr="0084619D">
        <w:rPr>
          <w:rFonts w:ascii="Times New Roman" w:eastAsia="Times New Roman" w:hAnsi="Times New Roman" w:cs="Times New Roman"/>
          <w:sz w:val="24"/>
          <w:szCs w:val="24"/>
          <w:lang w:eastAsia="es-CO"/>
        </w:rPr>
        <w:t>Adicionalmente, debe tener en cuenta que es obligación del comerciante, conservar la documentación societaria por un período de diez (10) años contados a partir de la fecha del último asiento, documento, o comprobante, pero para tal efecto puede elegir si lo hace en medio escrito, o en cualquier medio técnico, magnético o electrónico que garantice su reproducción exacta, que debe cumplir los requisitos establecidos en el artículo 12 de la Ley 527 de 1999.</w:t>
      </w: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jc w:val="both"/>
        <w:rPr>
          <w:rFonts w:ascii="Times New Roman" w:eastAsia="Times New Roman" w:hAnsi="Times New Roman" w:cs="Times New Roman"/>
          <w:i/>
          <w:iCs/>
          <w:sz w:val="24"/>
          <w:szCs w:val="24"/>
          <w:lang w:eastAsia="es-CO"/>
        </w:rPr>
      </w:pPr>
      <w:r w:rsidRPr="0084619D">
        <w:rPr>
          <w:rFonts w:ascii="Times New Roman" w:eastAsia="Times New Roman" w:hAnsi="Times New Roman" w:cs="Times New Roman"/>
          <w:sz w:val="24"/>
          <w:szCs w:val="24"/>
          <w:lang w:eastAsia="es-CO"/>
        </w:rPr>
        <w:t>Lo anterior toda vez que a la luz del artículo 28 de la Ley 962 de 2005, los documentos del comerciante, “</w:t>
      </w:r>
      <w:r w:rsidRPr="0084619D">
        <w:rPr>
          <w:rFonts w:ascii="Times New Roman" w:eastAsia="Times New Roman" w:hAnsi="Times New Roman" w:cs="Times New Roman"/>
          <w:i/>
          <w:iCs/>
          <w:sz w:val="24"/>
          <w:szCs w:val="24"/>
          <w:lang w:eastAsia="es-CO"/>
        </w:rPr>
        <w:t>deberán ser conservados por un período de diez (10) años contados a partir de la fecha del último asiento, documento o comprobante, pudiendo utilizar para el efecto, a elección del comerciante, su conservación en papel o en cualquier medio técnico, magnético o electrónico que garantice su reproducción exacta.</w:t>
      </w: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jc w:val="both"/>
        <w:rPr>
          <w:rFonts w:ascii="Times New Roman" w:eastAsia="Times New Roman" w:hAnsi="Times New Roman" w:cs="Times New Roman"/>
          <w:i/>
          <w:iCs/>
          <w:sz w:val="24"/>
          <w:szCs w:val="24"/>
          <w:lang w:eastAsia="es-CO"/>
        </w:rPr>
      </w:pPr>
      <w:r w:rsidRPr="0084619D">
        <w:rPr>
          <w:rFonts w:ascii="Times New Roman" w:eastAsia="Times New Roman" w:hAnsi="Times New Roman" w:cs="Times New Roman"/>
          <w:i/>
          <w:iCs/>
          <w:sz w:val="24"/>
          <w:szCs w:val="24"/>
          <w:lang w:eastAsia="es-CO"/>
        </w:rPr>
        <w:t>Igual término aplicará en relación con las personas, no comerciantes, que legalmente se encuentren obligadas a conservar esta información.</w:t>
      </w:r>
    </w:p>
    <w:p w:rsidR="0084619D" w:rsidRPr="0084619D" w:rsidRDefault="0084619D" w:rsidP="0084619D">
      <w:pPr>
        <w:spacing w:after="0" w:line="240" w:lineRule="auto"/>
        <w:jc w:val="both"/>
        <w:rPr>
          <w:rFonts w:ascii="Times New Roman" w:eastAsia="Times New Roman" w:hAnsi="Times New Roman" w:cs="Times New Roman"/>
          <w:sz w:val="24"/>
          <w:szCs w:val="24"/>
          <w:lang w:eastAsia="es-CO"/>
        </w:rPr>
      </w:pPr>
    </w:p>
    <w:p w:rsidR="0084619D" w:rsidRPr="0084619D" w:rsidRDefault="0084619D" w:rsidP="0084619D">
      <w:pPr>
        <w:spacing w:after="0" w:line="240" w:lineRule="auto"/>
        <w:jc w:val="both"/>
        <w:rPr>
          <w:rFonts w:ascii="Times New Roman" w:eastAsia="Times New Roman" w:hAnsi="Times New Roman" w:cs="Times New Roman"/>
          <w:i/>
          <w:iCs/>
          <w:sz w:val="24"/>
          <w:szCs w:val="24"/>
          <w:lang w:eastAsia="es-CO"/>
        </w:rPr>
      </w:pPr>
      <w:r w:rsidRPr="0084619D">
        <w:rPr>
          <w:rFonts w:ascii="Times New Roman" w:eastAsia="Times New Roman" w:hAnsi="Times New Roman" w:cs="Times New Roman"/>
          <w:i/>
          <w:iCs/>
          <w:sz w:val="24"/>
          <w:szCs w:val="24"/>
          <w:lang w:eastAsia="es-CO"/>
        </w:rPr>
        <w:t>Lo anterior sin perjuicio de los términos menores consagrados en normas especiales.”</w:t>
      </w:r>
    </w:p>
    <w:p w:rsidR="0084619D" w:rsidRPr="0084619D" w:rsidRDefault="0084619D" w:rsidP="0084619D">
      <w:pPr>
        <w:jc w:val="both"/>
        <w:rPr>
          <w:rFonts w:ascii="Times New Roman" w:hAnsi="Times New Roman" w:cs="Times New Roman"/>
          <w:sz w:val="24"/>
          <w:szCs w:val="24"/>
        </w:rPr>
      </w:pPr>
    </w:p>
    <w:p w:rsidR="0084619D" w:rsidRPr="0084619D" w:rsidRDefault="0084619D" w:rsidP="0084619D">
      <w:pPr>
        <w:jc w:val="both"/>
        <w:rPr>
          <w:rFonts w:ascii="Times New Roman" w:hAnsi="Times New Roman" w:cs="Times New Roman"/>
          <w:sz w:val="24"/>
          <w:szCs w:val="24"/>
        </w:rPr>
      </w:pPr>
    </w:p>
    <w:p w:rsidR="00962647" w:rsidRPr="0084619D" w:rsidRDefault="0084619D" w:rsidP="0084619D">
      <w:pPr>
        <w:jc w:val="both"/>
        <w:rPr>
          <w:rFonts w:ascii="Times New Roman" w:hAnsi="Times New Roman" w:cs="Times New Roman"/>
          <w:sz w:val="24"/>
          <w:szCs w:val="24"/>
        </w:rPr>
      </w:pPr>
      <w:r w:rsidRPr="0084619D">
        <w:rPr>
          <w:rFonts w:ascii="Times New Roman" w:hAnsi="Times New Roman" w:cs="Times New Roman"/>
          <w:sz w:val="24"/>
          <w:szCs w:val="24"/>
        </w:rPr>
        <w:lastRenderedPageBreak/>
        <w:t>En los anteriores términos se han atendido sus inquietudes, no sin antes manifestarle que el presente oficio tiene los alcances del artículo 28 del Código de Procedimiento Administrativo y de lo Contencioso Administrativo.</w:t>
      </w:r>
    </w:p>
    <w:sectPr w:rsidR="00962647" w:rsidRPr="008461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9D"/>
    <w:rsid w:val="007D381D"/>
    <w:rsid w:val="0084619D"/>
    <w:rsid w:val="009626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persociedades.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769</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2013-10-17T17:16:00Z</dcterms:created>
  <dcterms:modified xsi:type="dcterms:W3CDTF">2013-11-05T19:33:00Z</dcterms:modified>
</cp:coreProperties>
</file>