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CB" w:rsidRDefault="00A224CB" w:rsidP="00A224CB">
      <w:pPr>
        <w:jc w:val="center"/>
        <w:rPr>
          <w:rFonts w:ascii="Times New Roman" w:hAnsi="Times New Roman" w:cs="Times New Roman"/>
          <w:b/>
        </w:rPr>
      </w:pPr>
    </w:p>
    <w:p w:rsidR="00A224CB" w:rsidRDefault="00A224CB" w:rsidP="00A224CB">
      <w:pPr>
        <w:jc w:val="center"/>
        <w:rPr>
          <w:rFonts w:ascii="Times New Roman" w:hAnsi="Times New Roman" w:cs="Times New Roman"/>
          <w:b/>
        </w:rPr>
      </w:pPr>
    </w:p>
    <w:p w:rsidR="005F6E06" w:rsidRPr="00A224CB" w:rsidRDefault="005F6E06" w:rsidP="00A224CB">
      <w:pPr>
        <w:jc w:val="center"/>
        <w:rPr>
          <w:rFonts w:ascii="Times New Roman" w:hAnsi="Times New Roman" w:cs="Times New Roman"/>
          <w:b/>
        </w:rPr>
      </w:pPr>
      <w:r w:rsidRPr="00A224CB">
        <w:rPr>
          <w:rFonts w:ascii="Times New Roman" w:hAnsi="Times New Roman" w:cs="Times New Roman"/>
          <w:b/>
        </w:rPr>
        <w:t>Concepto Nº 162225</w:t>
      </w:r>
    </w:p>
    <w:p w:rsidR="00A224CB" w:rsidRDefault="00A224CB" w:rsidP="00A224CB">
      <w:pPr>
        <w:jc w:val="center"/>
        <w:rPr>
          <w:rFonts w:ascii="Times New Roman" w:hAnsi="Times New Roman" w:cs="Times New Roman"/>
          <w:b/>
        </w:rPr>
      </w:pPr>
      <w:bookmarkStart w:id="0" w:name="_GoBack"/>
      <w:bookmarkEnd w:id="0"/>
    </w:p>
    <w:p w:rsidR="005F6E06" w:rsidRDefault="005F6E06" w:rsidP="00A224CB">
      <w:pPr>
        <w:jc w:val="center"/>
        <w:rPr>
          <w:rFonts w:ascii="Times New Roman" w:hAnsi="Times New Roman" w:cs="Times New Roman"/>
          <w:b/>
        </w:rPr>
      </w:pPr>
      <w:r w:rsidRPr="00A224CB">
        <w:rPr>
          <w:rFonts w:ascii="Times New Roman" w:hAnsi="Times New Roman" w:cs="Times New Roman"/>
          <w:b/>
        </w:rPr>
        <w:t>08-09-2014</w:t>
      </w:r>
    </w:p>
    <w:p w:rsidR="00A224CB" w:rsidRPr="00A224CB" w:rsidRDefault="00A224CB" w:rsidP="00A224CB">
      <w:pPr>
        <w:jc w:val="center"/>
        <w:rPr>
          <w:rFonts w:ascii="Times New Roman" w:hAnsi="Times New Roman" w:cs="Times New Roman"/>
          <w:b/>
        </w:rPr>
      </w:pPr>
    </w:p>
    <w:p w:rsidR="005F6E06" w:rsidRPr="00A224CB" w:rsidRDefault="005F6E06" w:rsidP="00A224CB">
      <w:pPr>
        <w:jc w:val="center"/>
        <w:rPr>
          <w:rFonts w:ascii="Times New Roman" w:hAnsi="Times New Roman" w:cs="Times New Roman"/>
          <w:b/>
        </w:rPr>
      </w:pPr>
      <w:r w:rsidRPr="00A224CB">
        <w:rPr>
          <w:rFonts w:ascii="Times New Roman" w:hAnsi="Times New Roman" w:cs="Times New Roman"/>
          <w:b/>
        </w:rPr>
        <w:t>Superintendencia de Industria y Comercio</w:t>
      </w:r>
    </w:p>
    <w:p w:rsidR="005F6E06" w:rsidRPr="00A224CB" w:rsidRDefault="005F6E06" w:rsidP="00A224CB">
      <w:pPr>
        <w:jc w:val="center"/>
        <w:rPr>
          <w:rFonts w:ascii="Times New Roman" w:hAnsi="Times New Roman" w:cs="Times New Roman"/>
          <w:b/>
        </w:rPr>
      </w:pPr>
    </w:p>
    <w:p w:rsidR="005F6E06" w:rsidRPr="00A224CB" w:rsidRDefault="005F6E06" w:rsidP="00A224CB">
      <w:pPr>
        <w:jc w:val="center"/>
        <w:rPr>
          <w:rFonts w:ascii="Times New Roman" w:hAnsi="Times New Roman" w:cs="Times New Roman"/>
          <w:b/>
        </w:rPr>
      </w:pP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Bogotá D.C.</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Señora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DANIELA ACEVEDO CALLE</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dani_acevedo@hotmail.com</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Asunto: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Radicación: 14-162225- -00002-0000</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Trámite: 113</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Evento: 0</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Actuación: 440</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Folios: 1</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Estimado(a) Señora: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Con el alcance previsto en el artículo 28 del Código de Procedimiento Administrativo y de lo Contencioso Administrativo, damos respuesta a su consulta radicada en esta Entidad con el número que se indica en el asunto, en los siguientes términos: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1. Objeto de la Consulta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En su comunicación consulta: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“Solicito se sirvan informar si existe obligación legal a cargo de las sociedades civiles para la renovación del registro de la matrícula ante las cámaras de comercio, con las respectivas razones de hecho y de derecho en las que fundamente su respuesta.”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 continuación encontrará información general sobre nuestras funciones en materia de cámaras de comercio y respecto de su función pública registral.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2. Facultades de la Superintendencia de Industria y Comercio en relación con las Cámaras de Comercio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En cuanto a las funciones específicas de esta Entidad frente a las cámaras de comercio, se encuentran las señaladas en el Código de Comercio en los artículos 27, 37, 82 y 87 y en el artículo 1, numerales 17, 18, 19 y 20 del Decreto 4886 de 2011.</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lastRenderedPageBreak/>
        <w:t>17. Ejercer el control y vigilancia de las Cámaras de Comercio, sus federaciones y confederaciones de acuerdo con las disposiciones vigentes sobre la materia y coordinar lo relacionado con el registro mercantil.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18. Determinar los libros necesarios para que las Cámaras de Comercio lleven el registro mercantil, la forma de hacer las inscripciones e instruir para que dicho registro y el de las personas jurídicas sin ánimo de lucro se lleve de acuerdo con la ley.</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19. Ejercer de acuerdo con la ley las funciones relacionadas con el registro único de proponentes.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20. Resolver los recursos de apelación y queja interpuestos contra los actos expedidos por las Cámaras de Comercio.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Igualmente, corresponde, a esta Entidad, en materia de registro mercantil, (i) evaluar el registro único empresarial y proponer las condiciones a que debe someterse dicho registro, así como proyectar los instructivos que sea necesario expedir a efectos de coordinarlo, (ii) establecer los formatos de inscripción y renovación de la inscripción en el RUES (Registro Único Empresarial y Social), (iii) establecer la información requerida para la inscripción en el RUES, (iv) establecer la información requerida para la renovación de la inscripción en el RUES, (v) regular la integración e implementación del RUES, atendiendo principios específicos y de manera armónica con las disposiciones estatutarias y con las contenidas en códigos, respecto de los registros que lo conforman.</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3. Funciones de las Cámaras de Comercio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El artículo 86 del Código de Comercio y el artículo 10 del Decreto 898 de 2002 señalan las funciones que deben cumplir las cámaras de comercio, quedando prohibido la realización de cualquier acto u operación que no esté encaminado al exclusivo cumplimiento de sus funciones.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3.1 Función Pública Registral de las Cámaras de Comercio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Las cámaras de comercio son personas jurídicas, de derecho privado, de carácter corporativo y sin ánimo de lucro, a las que el Gobierno les ha asignado el manejo de ciertas funciones públicas, con base en la facultad que tiene para disponer que un determinado servicio o función pública sea prestado por un particular bajo las normas que para el efecto disponga, de conformidad con lo previsto en el artículo 210 de la Constitución Política.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Las funciones públicas que desarrollan las cámaras de comercio están relacionadas con su función registral, la cual de conformidad con lo previsto en el artículo 166 del Decreto 19 de 2012, será realizada de manera unificada a través del Registro Único Empresarial y Social -RUES-, el cual estará conformado, entre otros, por el Registro Mercantil, el Registro Único Empresarial – RUE, el Registro Único de Proponentes – RUP, el Registro de Entidades sin ánimo de lucro, con el fin de brindar al Estado, a la sociedad en general, a los empresarios, a los contratistas, a las entidades de economía solidaria y a las entidades sin ánimo de lucro </w:t>
      </w:r>
      <w:r w:rsidRPr="00A224CB">
        <w:rPr>
          <w:rFonts w:ascii="Times New Roman" w:hAnsi="Times New Roman" w:cs="Times New Roman"/>
        </w:rPr>
        <w:lastRenderedPageBreak/>
        <w:t>una herramienta confiable de información unificada tanto en el orden nacional como en el internacional.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Para el ejercicio de estas funciones públicas, las cámaras deben regirse por la competencia propia de las autoridades administrativas y, por lo tanto, sus facultades son eminentemente regladas y restringidas a lo expresamente consagrado en el ordenamiento jurídico, de acuerdo con lo dispuesto en el artículo 121 de la Constitución.</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4. El Registro Mercantil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El registro mercantil, creado por la ley (artículo 26 del Código de Comercio) para llevar la matrícula de los comerciantes y de los establecimientos de comercio, así como la inscripción de todos los actos, libros y documentos respectos de los cuales la ley exigiere esa formalidad, es una base de datos actualizable sobre los participantes en la actividad comercial del país, caracterizada por su disponibilidad pública e inmediata. Por lo tanto, es un medio para acceder al intercambio económico con la seguridad jurídica que brinda el conocimiento sobre quienes tienen parte en la dinámica del mercado y las actividades que realizan.</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En efecto, el artículo 26 del código de comercio, establece:</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Art. 26. Registro Mercantil - Objeto - Calidad. El registro mercantil tendrá por objeto llevar la matrícula de los comerciantes y de los establecimientos de comercio, así como la inscripción de todos los actos, libros y documentos respecto de los cuales la ley exigiere esa formalidad.</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El registro mercantil será público. Cualquier persona podrá examinar los libros y archivos en que fuere llevado, tomar anotaciones de sus asientos o actos y obtener copias de los mismos.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La Corte Constitucional, mediante sentencia C-602 de 2000 ha manifestado que:</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Todo comerciante tiene la obligación de matricularse en el registro mercantil. En estricto rigor la matrícula mercantil es un medio legal que permite brindar publicidad sobre la condición de comerciante. En este mismo sentido, los demás actos de inscripción de actos, libros y documentos, en el registro mercantil, constituyen formalidades legales a cuyo cumplimiento no pueden sustraerse los comerciantes, y también se encaminan a fortalecer el sistema de publicidad mercantil.” (Resaltado fuera del texto)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Conforme al artículo 100 del Código de Comercio \"Se tendrán como comerciales, para todos los efectos legales, las sociedades que se formen para la ejecución de actos o empresas mercantiles\". En este sentido, una sociedad será comercial cuando en su objeto social se haya previsto la realización de operaciones o actos mercantiles.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El numeral 4 del artículo 110 de Código de Comercio exige que en la escritura de constitución de una sociedad se exprese: \"el objeto social, esto es, la empresa o negocio de la sociedad, haciendo una enumeración clara y completa de las actividades principales\". De este modo, resulta claro que es a partir de esta enunciación que se haga de la actividad a desarrollar por la sociedad, que procede su calificación como mercantil.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lastRenderedPageBreak/>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Las sociedades de naturaleza mercantil deben cumplir, en su calidad de comerciantes, con la obligación prevista en el artículo 19 del Código de Comercio y, por lo tanto, deben matricularse en el registro mercantil a cargo de las cámaras de comercio.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4.1 Sociedades Civiles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La naturaleza civil o comercial de una sociedad está determinada por el alcance de su objeto social. En tal medida, de acuerdo con las actividades que desarrolle la sociedad y la decisión de su órgano social, se podrá determinar su calidad de civil o comercial.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La diferencia entre unas y otras, radica en que las sociedades de naturaleza civil no se encuentran obligadas a inscribirse en el registro mercantil que llevan las cámaras de comercio, en tanto, que las sociedades mercantiles como se anotó en el punto anterior, si están obligadas a registrarse, de conformidad con lo establecido en el artículo 19 del estatuto comercial.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Sin embargo, el artículo 1 de la Ley 222 de 1995, \"Por la cual se modifica el libro II del Código de Comercio, se expide un nuevo régimen de procesos concursales y se dictan otras disposiciones”, en su artículo 1, establece:</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Artículo 1°. Sociedad Comercial y ámbito de aplicación de esta ley. El artículo 100 del Código de Comercio, quedará así:</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Artículo 100: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Sin embargo, cualquiera que sea su objeto, las sociedades comerciales y civiles estarán sujetas, para todos los efectos, a la legislación mercantil. (</w:t>
      </w:r>
      <w:proofErr w:type="gramStart"/>
      <w:r w:rsidRPr="00A224CB">
        <w:rPr>
          <w:rFonts w:ascii="Times New Roman" w:hAnsi="Times New Roman" w:cs="Times New Roman"/>
        </w:rPr>
        <w:t>negrilla</w:t>
      </w:r>
      <w:proofErr w:type="gramEnd"/>
      <w:r w:rsidRPr="00A224CB">
        <w:rPr>
          <w:rFonts w:ascii="Times New Roman" w:hAnsi="Times New Roman" w:cs="Times New Roman"/>
        </w:rPr>
        <w:t xml:space="preserve"> y resaltado fuera de texto).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La Corte Constitucional, en sentencia C-435 del 12 de septiembre de 1996, radicación D-1258, Magistrados Ponentes José Gregorio Hernández y Eduardo Cifuentes Muñoz, al referirse a la </w:t>
      </w:r>
      <w:proofErr w:type="spellStart"/>
      <w:r w:rsidRPr="00A224CB">
        <w:rPr>
          <w:rFonts w:ascii="Times New Roman" w:hAnsi="Times New Roman" w:cs="Times New Roman"/>
        </w:rPr>
        <w:t>exequibilidad</w:t>
      </w:r>
      <w:proofErr w:type="spellEnd"/>
      <w:r w:rsidRPr="00A224CB">
        <w:rPr>
          <w:rFonts w:ascii="Times New Roman" w:hAnsi="Times New Roman" w:cs="Times New Roman"/>
        </w:rPr>
        <w:t xml:space="preserve"> del artículo 1 transcrito, señaló:</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“En realidad, al proponerse el legislador de 1995 la modificación del Libro II del Código de Comercio, no buscó de manera exclusiva dictar nuevas normas sobre las sociedades mercantiles, ni establecer únicamente reglas de Derecho Comercial, sino que quiso penetrar en el contenido del conjunto normativo seleccionado con el objeto de plasmar allí la nueva política del Estado en materia de sociedades, por lo cual era inevitable que tocara tanto el régimen de las mercantiles como el de las civiles.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Para la Corte es claro que, al disponer el régimen de las sociedades comerciales para todas las compañías, mercantiles o civiles, independientemente de su objeto, el Congreso no rompió la unidad de materia dentro de la ley -como podría parecer a primera vista- sino que, por el contrario, al integrar las reglas aplicables a órganos, estructura, funcionamiento, </w:t>
      </w:r>
      <w:r w:rsidRPr="00A224CB">
        <w:rPr>
          <w:rFonts w:ascii="Times New Roman" w:hAnsi="Times New Roman" w:cs="Times New Roman"/>
        </w:rPr>
        <w:lastRenderedPageBreak/>
        <w:t>reformas, disolución y liquidación de sociedades en uno solo, cumplió a cabalidad el mandato constitucional que le ordenaba que todas las disposiciones de la ley dictada debían referirse a una misma materia (artículo 158 C.P.).</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Debe observarse que la relación con el título de la ley (artículo 169 C.P.) resulta indudable pues, en efecto, como aquél lo anunciaba, mediante el artículo acusado se introdujeron modificaciones trascendentales al contenido del articulado del Código de Comercio en su Libro II, al extender o ampliar su cobertura hacia el campo de las sociedades civiles.” (…) (</w:t>
      </w:r>
      <w:proofErr w:type="gramStart"/>
      <w:r w:rsidRPr="00A224CB">
        <w:rPr>
          <w:rFonts w:ascii="Times New Roman" w:hAnsi="Times New Roman" w:cs="Times New Roman"/>
        </w:rPr>
        <w:t>subrayado</w:t>
      </w:r>
      <w:proofErr w:type="gramEnd"/>
      <w:r w:rsidRPr="00A224CB">
        <w:rPr>
          <w:rFonts w:ascii="Times New Roman" w:hAnsi="Times New Roman" w:cs="Times New Roman"/>
        </w:rPr>
        <w:t xml:space="preserve"> fuera de texto)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4.1.1 Registro de Sociedades Civiles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Respecto del registro de las sociedades civiles, la Circular Única de la Superintendencia de Industria y Comercio en el Título VIII, numeral 1.1, para efectos de dar aplicación a lo dispuesto en el artículo 1 de la Ley 222 de 1995, señaló los documentos que deben inscribir las cámaras de comercio frente al registro de sociedades civiles.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1.1. Registro mercantil.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1.1.1. Libros necesarios del registro mercantil.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Libro XIII. De las sociedades civiles. Se inscribirán en este libro: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La constitución, reforma, disolución y liquidación de sociedades civiles, así como las providencias referentes a estos actos;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El acta o acuerdo en que conste la designación, remoción o revocación de los administradores o revisores fiscales, así como las providencias referentes a estos actos;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La certificación del revisor fiscal sobre los aumentos de capital suscrito y pagado; y</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Los demás actos que de conformidad con el inciso 2º del artículo 100 de la ley 222 de 1995 deberán registrarse respecto de las sociedades civiles. (</w:t>
      </w:r>
      <w:proofErr w:type="gramStart"/>
      <w:r w:rsidRPr="00A224CB">
        <w:rPr>
          <w:rFonts w:ascii="Times New Roman" w:hAnsi="Times New Roman" w:cs="Times New Roman"/>
        </w:rPr>
        <w:t>subrayado</w:t>
      </w:r>
      <w:proofErr w:type="gramEnd"/>
      <w:r w:rsidRPr="00A224CB">
        <w:rPr>
          <w:rFonts w:ascii="Times New Roman" w:hAnsi="Times New Roman" w:cs="Times New Roman"/>
        </w:rPr>
        <w:t xml:space="preserve"> fuera de texto)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Conforme a las disposiciones y jurisprudencia anteriores, específicamente a lo establecido en el artículo 1 de la Ley 222 de 1995, las sociedades civiles se pueden registrar en el Registro Mercantil, en el Libro XIII “De las Sociedades Civiles”.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4.2 Registro Único Empresarial y Social RUES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El Decreto Ley 19 de 2012, “Por el cual se dictan normas para suprimir o reformar regulaciones, procedimientos y trámites innecesarios existentes en Administración Pública”, conocido como el decreto </w:t>
      </w:r>
      <w:proofErr w:type="spellStart"/>
      <w:r w:rsidRPr="00A224CB">
        <w:rPr>
          <w:rFonts w:ascii="Times New Roman" w:hAnsi="Times New Roman" w:cs="Times New Roman"/>
        </w:rPr>
        <w:t>antitrámites</w:t>
      </w:r>
      <w:proofErr w:type="spellEnd"/>
      <w:r w:rsidRPr="00A224CB">
        <w:rPr>
          <w:rFonts w:ascii="Times New Roman" w:hAnsi="Times New Roman" w:cs="Times New Roman"/>
        </w:rPr>
        <w:t>, en su artículo 166, señala:</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ARTÍCULO 166. DEL REGISTRO ÚNICO EMPRESARIAL Y SOCIAL. Al Registro Único Empresarial (RUE) de que trata el artículo 11 de la Ley 590 de 2000, que integró el Registro Mercantil y el Registro Único de Proponentes, se incorporarán e integrarán las operaciones del Registro de Entidades sin Ánimo de Lucro creado por el Decreto 2150 de 1995, del Registro Nacional Público de las personas naturales y jurídicas que ejerzan la </w:t>
      </w:r>
      <w:r w:rsidRPr="00A224CB">
        <w:rPr>
          <w:rFonts w:ascii="Times New Roman" w:hAnsi="Times New Roman" w:cs="Times New Roman"/>
        </w:rPr>
        <w:lastRenderedPageBreak/>
        <w:t>actividad de vendedores de Juegos de Suerte y Azar de que trata la Ley 643 de 2001, del Registro Público de Veedurías Ciudadanas de que trata la Ley 850 de 2003, del Registro Nacional de Turismo de que trata la Ley 1101 de 2006, del Registro de Entidades Extranjeras de Derecho Privado sin Ánimo de Lucro con domicilio en el exterior que establezcan negocios permanentes en Colombia de que trata el Decreto 2893 de 2011, y del Registro de la Economía Solidaria de que trata la Ley 454 de 1998,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Con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la misma. Los registros mercantil y de proponentes continuarán renovándose de acuerdo con las reglas vigentes.</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El organismo que ejerza el control y vigilancia de las cámaras de comercio regulará la integración e implementación del Registro Único Empresarial y Social, garantizando que, específicamente, se reduzcan los trámites, requisitos e información a cargo de todos los usuarios de los registros públicos 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Los derechos por la prestación de los servicios registrales serán los previstos por la ley para el registro mercantil, el registro único de proponentes y el registro de entidades sin ánimo de lucro, según el caso. Las Cámaras de Comercio no podrán cobrar derechos de inscripción y renovación sobre los registros que se le trasladan en virtud del presente decreto-ley y que a la vigencia del mismo no los causan.</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Los ingresos provenientes de los registros públicos y los bienes adquiridos con éstos, continuarán afectos a las funciones atribuidas a las Cámaras de Comercio por la ley o por el Gobierno Nacional en aplicación del numeral 12 del artículo 86 del Código de Comercio. En ningún caso los recursos de origen público podrán destinarse para sufragar operaciones o gastos privados de las Cámaras de Comercio. Los registros públicos que se le trasladan a las Cámaras de Comercio serán asumidos por éstas a partir del primero (1°) de marzo de 2012. (</w:t>
      </w:r>
      <w:proofErr w:type="gramStart"/>
      <w:r w:rsidRPr="00A224CB">
        <w:rPr>
          <w:rFonts w:ascii="Times New Roman" w:hAnsi="Times New Roman" w:cs="Times New Roman"/>
        </w:rPr>
        <w:t>resaltado</w:t>
      </w:r>
      <w:proofErr w:type="gramEnd"/>
      <w:r w:rsidRPr="00A224CB">
        <w:rPr>
          <w:rFonts w:ascii="Times New Roman" w:hAnsi="Times New Roman" w:cs="Times New Roman"/>
        </w:rPr>
        <w:t xml:space="preserve"> y subrayado fuera de texto)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En consecuencia, frente a su consulta, las cámaras de comercio vienen registrando a las sociedades civiles en el Registro Mercantil, en el Libro XIII “De las Sociedades Civiles”, conforme a lo dispuesto en el artículo 1 de la Ley 222 de 1995. Así mismo, de acuerdo con el artículo 166 del Decreto Ley 19 de 2012, tal registro deberá renovarse anualmente en los mismos términos y condiciones previstos por la ley para el registro mercantil.</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lastRenderedPageBreak/>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Para obtener mayor información sobre el desarrollo de nuestras funciones y de las normas objeto de aplicación por parte de esta Entidad, puede consultar nuestra página de internet www.sic.gov.co</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Atentamente,</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 xml:space="preserve"> </w:t>
      </w:r>
    </w:p>
    <w:p w:rsidR="005F6E06" w:rsidRPr="00A224CB" w:rsidRDefault="005F6E06" w:rsidP="00A224CB">
      <w:pPr>
        <w:jc w:val="both"/>
        <w:rPr>
          <w:rFonts w:ascii="Times New Roman" w:hAnsi="Times New Roman" w:cs="Times New Roman"/>
        </w:rPr>
      </w:pPr>
      <w:r w:rsidRPr="00A224CB">
        <w:rPr>
          <w:rFonts w:ascii="Times New Roman" w:hAnsi="Times New Roman" w:cs="Times New Roman"/>
        </w:rPr>
        <w:t>WILLIAM ANTONIO BURGOS DURANGO</w:t>
      </w:r>
    </w:p>
    <w:p w:rsidR="00FB5012" w:rsidRPr="00A224CB" w:rsidRDefault="005F6E06" w:rsidP="00A224CB">
      <w:pPr>
        <w:jc w:val="both"/>
        <w:rPr>
          <w:rFonts w:ascii="Times New Roman" w:hAnsi="Times New Roman" w:cs="Times New Roman"/>
        </w:rPr>
      </w:pPr>
      <w:r w:rsidRPr="00A224CB">
        <w:rPr>
          <w:rFonts w:ascii="Times New Roman" w:hAnsi="Times New Roman" w:cs="Times New Roman"/>
        </w:rPr>
        <w:t>Jefe Oficina Asesora Jurídica</w:t>
      </w:r>
    </w:p>
    <w:sectPr w:rsidR="00FB5012" w:rsidRPr="00A224CB" w:rsidSect="00A224C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DF"/>
    <w:rsid w:val="005F6E06"/>
    <w:rsid w:val="007B10A9"/>
    <w:rsid w:val="00A224CB"/>
    <w:rsid w:val="00A6213F"/>
    <w:rsid w:val="00C50CC4"/>
    <w:rsid w:val="00F03E10"/>
    <w:rsid w:val="00F53BDF"/>
    <w:rsid w:val="00FB50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C89F433-B734-4110-B575-22FDF0BF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5">
    <w:name w:val="pa25"/>
    <w:basedOn w:val="Normal"/>
    <w:rsid w:val="00F53BDF"/>
    <w:pPr>
      <w:spacing w:before="100" w:beforeAutospacing="1" w:after="100" w:afterAutospacing="1"/>
    </w:pPr>
    <w:rPr>
      <w:rFonts w:ascii="Times" w:hAnsi="Times"/>
      <w:sz w:val="20"/>
      <w:szCs w:val="20"/>
      <w:lang w:val="es-CO"/>
    </w:rPr>
  </w:style>
  <w:style w:type="paragraph" w:customStyle="1" w:styleId="pa21">
    <w:name w:val="pa21"/>
    <w:basedOn w:val="Normal"/>
    <w:rsid w:val="00F53BDF"/>
    <w:pPr>
      <w:spacing w:before="100" w:beforeAutospacing="1" w:after="100" w:afterAutospacing="1"/>
    </w:pPr>
    <w:rPr>
      <w:rFonts w:ascii="Times" w:hAnsi="Times"/>
      <w:sz w:val="20"/>
      <w:szCs w:val="20"/>
      <w:lang w:val="es-CO"/>
    </w:rPr>
  </w:style>
  <w:style w:type="paragraph" w:customStyle="1" w:styleId="pa10">
    <w:name w:val="pa10"/>
    <w:basedOn w:val="Normal"/>
    <w:rsid w:val="00F53BDF"/>
    <w:pPr>
      <w:spacing w:before="100" w:beforeAutospacing="1" w:after="100" w:afterAutospacing="1"/>
    </w:pPr>
    <w:rPr>
      <w:rFonts w:ascii="Times" w:hAnsi="Times"/>
      <w:sz w:val="20"/>
      <w:szCs w:val="20"/>
      <w:lang w:val="es-CO"/>
    </w:rPr>
  </w:style>
  <w:style w:type="character" w:customStyle="1" w:styleId="apple-converted-space">
    <w:name w:val="apple-converted-space"/>
    <w:basedOn w:val="Fuentedeprrafopredeter"/>
    <w:rsid w:val="00F53BDF"/>
  </w:style>
  <w:style w:type="paragraph" w:customStyle="1" w:styleId="pa0">
    <w:name w:val="pa0"/>
    <w:basedOn w:val="Normal"/>
    <w:rsid w:val="00F53BDF"/>
    <w:pPr>
      <w:spacing w:before="100" w:beforeAutospacing="1" w:after="100" w:afterAutospacing="1"/>
    </w:pPr>
    <w:rPr>
      <w:rFonts w:ascii="Times" w:hAnsi="Times"/>
      <w:sz w:val="20"/>
      <w:szCs w:val="20"/>
      <w:lang w:val="es-CO"/>
    </w:rPr>
  </w:style>
  <w:style w:type="character" w:customStyle="1" w:styleId="a8">
    <w:name w:val="a8"/>
    <w:basedOn w:val="Fuentedeprrafopredeter"/>
    <w:rsid w:val="00F53BDF"/>
  </w:style>
  <w:style w:type="paragraph" w:customStyle="1" w:styleId="pa30">
    <w:name w:val="pa30"/>
    <w:basedOn w:val="Normal"/>
    <w:rsid w:val="00F53BDF"/>
    <w:pPr>
      <w:spacing w:before="100" w:beforeAutospacing="1" w:after="100" w:afterAutospacing="1"/>
    </w:pPr>
    <w:rPr>
      <w:rFonts w:ascii="Times" w:hAnsi="Times"/>
      <w:sz w:val="20"/>
      <w:szCs w:val="20"/>
      <w:lang w:val="es-CO"/>
    </w:rPr>
  </w:style>
  <w:style w:type="paragraph" w:styleId="NormalWeb">
    <w:name w:val="Normal (Web)"/>
    <w:basedOn w:val="Normal"/>
    <w:uiPriority w:val="99"/>
    <w:semiHidden/>
    <w:unhideWhenUsed/>
    <w:rsid w:val="00F53BDF"/>
    <w:pPr>
      <w:spacing w:before="100" w:beforeAutospacing="1" w:after="100" w:afterAutospacing="1"/>
    </w:pPr>
    <w:rPr>
      <w:rFonts w:ascii="Times" w:hAnsi="Times" w:cs="Times New Roman"/>
      <w:sz w:val="20"/>
      <w:szCs w:val="20"/>
      <w:lang w:val="es-CO"/>
    </w:rPr>
  </w:style>
  <w:style w:type="character" w:styleId="Hipervnculo">
    <w:name w:val="Hyperlink"/>
    <w:basedOn w:val="Fuentedeprrafopredeter"/>
    <w:uiPriority w:val="99"/>
    <w:semiHidden/>
    <w:unhideWhenUsed/>
    <w:rsid w:val="00A6213F"/>
    <w:rPr>
      <w:color w:val="0000FF"/>
      <w:u w:val="single"/>
    </w:rPr>
  </w:style>
  <w:style w:type="paragraph" w:customStyle="1" w:styleId="pa7">
    <w:name w:val="pa7"/>
    <w:basedOn w:val="Normal"/>
    <w:rsid w:val="00A6213F"/>
    <w:pPr>
      <w:spacing w:before="100" w:beforeAutospacing="1" w:after="100" w:afterAutospacing="1"/>
    </w:pPr>
    <w:rPr>
      <w:rFonts w:ascii="Times" w:hAnsi="Times"/>
      <w:sz w:val="20"/>
      <w:szCs w:val="20"/>
      <w:lang w:val="es-CO"/>
    </w:rPr>
  </w:style>
  <w:style w:type="paragraph" w:customStyle="1" w:styleId="pa26">
    <w:name w:val="pa26"/>
    <w:basedOn w:val="Normal"/>
    <w:rsid w:val="00A6213F"/>
    <w:pPr>
      <w:spacing w:before="100" w:beforeAutospacing="1" w:after="100" w:afterAutospacing="1"/>
    </w:pPr>
    <w:rPr>
      <w:rFonts w:ascii="Times" w:hAnsi="Times"/>
      <w:sz w:val="20"/>
      <w:szCs w:val="20"/>
      <w:lang w:val="es-CO"/>
    </w:rPr>
  </w:style>
  <w:style w:type="paragraph" w:customStyle="1" w:styleId="pa46">
    <w:name w:val="pa46"/>
    <w:basedOn w:val="Normal"/>
    <w:rsid w:val="00A6213F"/>
    <w:pPr>
      <w:spacing w:before="100" w:beforeAutospacing="1" w:after="100" w:afterAutospacing="1"/>
    </w:pPr>
    <w:rPr>
      <w:rFonts w:ascii="Times" w:hAnsi="Times"/>
      <w:sz w:val="20"/>
      <w:szCs w:val="20"/>
      <w:lang w:val="es-CO"/>
    </w:rPr>
  </w:style>
  <w:style w:type="paragraph" w:customStyle="1" w:styleId="pa45">
    <w:name w:val="pa45"/>
    <w:basedOn w:val="Normal"/>
    <w:rsid w:val="00A6213F"/>
    <w:pPr>
      <w:spacing w:before="100" w:beforeAutospacing="1" w:after="100" w:afterAutospacing="1"/>
    </w:pPr>
    <w:rPr>
      <w:rFonts w:ascii="Times" w:hAnsi="Times"/>
      <w:sz w:val="20"/>
      <w:szCs w:val="20"/>
      <w:lang w:val="es-CO"/>
    </w:rPr>
  </w:style>
  <w:style w:type="paragraph" w:customStyle="1" w:styleId="pa43">
    <w:name w:val="pa43"/>
    <w:basedOn w:val="Normal"/>
    <w:rsid w:val="00A6213F"/>
    <w:pPr>
      <w:spacing w:before="100" w:beforeAutospacing="1" w:after="100" w:afterAutospacing="1"/>
    </w:pPr>
    <w:rPr>
      <w:rFonts w:ascii="Times" w:hAnsi="Times"/>
      <w:sz w:val="20"/>
      <w:szCs w:val="20"/>
      <w:lang w:val="es-CO"/>
    </w:rPr>
  </w:style>
  <w:style w:type="character" w:styleId="Refdenotaalpie">
    <w:name w:val="footnote reference"/>
    <w:basedOn w:val="Fuentedeprrafopredeter"/>
    <w:uiPriority w:val="99"/>
    <w:semiHidden/>
    <w:unhideWhenUsed/>
    <w:rsid w:val="00A6213F"/>
  </w:style>
  <w:style w:type="paragraph" w:styleId="Textonotapie">
    <w:name w:val="footnote text"/>
    <w:basedOn w:val="Normal"/>
    <w:link w:val="TextonotapieCar"/>
    <w:uiPriority w:val="99"/>
    <w:semiHidden/>
    <w:unhideWhenUsed/>
    <w:rsid w:val="00A6213F"/>
    <w:pPr>
      <w:spacing w:before="100" w:beforeAutospacing="1" w:after="100" w:afterAutospacing="1"/>
    </w:pPr>
    <w:rPr>
      <w:rFonts w:ascii="Times" w:hAnsi="Times"/>
      <w:sz w:val="20"/>
      <w:szCs w:val="20"/>
      <w:lang w:val="es-CO"/>
    </w:rPr>
  </w:style>
  <w:style w:type="character" w:customStyle="1" w:styleId="TextonotapieCar">
    <w:name w:val="Texto nota pie Car"/>
    <w:basedOn w:val="Fuentedeprrafopredeter"/>
    <w:link w:val="Textonotapie"/>
    <w:uiPriority w:val="99"/>
    <w:semiHidden/>
    <w:rsid w:val="00A6213F"/>
    <w:rPr>
      <w:rFonts w:ascii="Times" w:hAnsi="Time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82086">
      <w:bodyDiv w:val="1"/>
      <w:marLeft w:val="0"/>
      <w:marRight w:val="0"/>
      <w:marTop w:val="0"/>
      <w:marBottom w:val="0"/>
      <w:divBdr>
        <w:top w:val="none" w:sz="0" w:space="0" w:color="auto"/>
        <w:left w:val="none" w:sz="0" w:space="0" w:color="auto"/>
        <w:bottom w:val="none" w:sz="0" w:space="0" w:color="auto"/>
        <w:right w:val="none" w:sz="0" w:space="0" w:color="auto"/>
      </w:divBdr>
      <w:divsChild>
        <w:div w:id="1662076626">
          <w:marLeft w:val="0"/>
          <w:marRight w:val="0"/>
          <w:marTop w:val="0"/>
          <w:marBottom w:val="0"/>
          <w:divBdr>
            <w:top w:val="none" w:sz="0" w:space="0" w:color="auto"/>
            <w:left w:val="none" w:sz="0" w:space="0" w:color="auto"/>
            <w:bottom w:val="none" w:sz="0" w:space="0" w:color="auto"/>
            <w:right w:val="none" w:sz="0" w:space="0" w:color="auto"/>
          </w:divBdr>
        </w:div>
      </w:divsChild>
    </w:div>
    <w:div w:id="2069496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2569</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Diosa Martinez</dc:creator>
  <cp:keywords/>
  <dc:description/>
  <cp:lastModifiedBy>CENTRO NACIONAL DE ESTUDIOS TRIBUTARIOS DE COLOMBIA CNETCO</cp:lastModifiedBy>
  <cp:revision>3</cp:revision>
  <dcterms:created xsi:type="dcterms:W3CDTF">2015-03-28T01:15:00Z</dcterms:created>
  <dcterms:modified xsi:type="dcterms:W3CDTF">2015-03-28T01:54:00Z</dcterms:modified>
</cp:coreProperties>
</file>