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35AC" w14:textId="77777777" w:rsidR="000D4FFF" w:rsidRPr="008333C8" w:rsidRDefault="000D4FFF" w:rsidP="00A351B3">
      <w:pPr>
        <w:spacing w:after="0" w:line="360" w:lineRule="auto"/>
        <w:jc w:val="center"/>
        <w:rPr>
          <w:rFonts w:eastAsia="Times New Roman" w:cs="Times New Roman"/>
          <w:szCs w:val="24"/>
          <w:lang w:eastAsia="es-CO"/>
        </w:rPr>
      </w:pPr>
      <w:r w:rsidRPr="008333C8">
        <w:rPr>
          <w:rFonts w:eastAsia="Times New Roman" w:cs="Times New Roman"/>
          <w:b/>
          <w:bCs/>
          <w:szCs w:val="24"/>
          <w:lang w:eastAsia="es-CO"/>
        </w:rPr>
        <w:t xml:space="preserve">OFICIO </w:t>
      </w:r>
      <w:proofErr w:type="spellStart"/>
      <w:r w:rsidRPr="008333C8">
        <w:rPr>
          <w:rFonts w:eastAsia="Times New Roman" w:cs="Times New Roman"/>
          <w:b/>
          <w:bCs/>
          <w:szCs w:val="24"/>
          <w:lang w:eastAsia="es-CO"/>
        </w:rPr>
        <w:t>Nº</w:t>
      </w:r>
      <w:proofErr w:type="spellEnd"/>
      <w:r w:rsidRPr="008333C8">
        <w:rPr>
          <w:rFonts w:eastAsia="Times New Roman" w:cs="Times New Roman"/>
          <w:b/>
          <w:bCs/>
          <w:szCs w:val="24"/>
          <w:lang w:eastAsia="es-CO"/>
        </w:rPr>
        <w:t xml:space="preserve"> 749 [904316]</w:t>
      </w:r>
    </w:p>
    <w:p w14:paraId="2173FBB3" w14:textId="77777777" w:rsidR="000D4FFF" w:rsidRPr="008333C8" w:rsidRDefault="000D4FFF" w:rsidP="00A351B3">
      <w:pPr>
        <w:spacing w:after="0" w:line="360" w:lineRule="auto"/>
        <w:jc w:val="center"/>
        <w:rPr>
          <w:rFonts w:eastAsia="Times New Roman" w:cs="Times New Roman"/>
          <w:szCs w:val="24"/>
          <w:lang w:eastAsia="es-CO"/>
        </w:rPr>
      </w:pPr>
      <w:r w:rsidRPr="008333C8">
        <w:rPr>
          <w:rFonts w:eastAsia="Times New Roman" w:cs="Times New Roman"/>
          <w:b/>
          <w:bCs/>
          <w:szCs w:val="24"/>
          <w:lang w:eastAsia="es-CO"/>
        </w:rPr>
        <w:t>03-06-2022</w:t>
      </w:r>
    </w:p>
    <w:p w14:paraId="798BD14C" w14:textId="77777777" w:rsidR="000D4FFF" w:rsidRPr="008333C8" w:rsidRDefault="000D4FFF" w:rsidP="00A351B3">
      <w:pPr>
        <w:spacing w:after="0" w:line="360" w:lineRule="auto"/>
        <w:jc w:val="center"/>
        <w:rPr>
          <w:rFonts w:eastAsia="Times New Roman" w:cs="Times New Roman"/>
          <w:szCs w:val="24"/>
          <w:lang w:eastAsia="es-CO"/>
        </w:rPr>
      </w:pPr>
      <w:r w:rsidRPr="008333C8">
        <w:rPr>
          <w:rFonts w:eastAsia="Times New Roman" w:cs="Times New Roman"/>
          <w:b/>
          <w:bCs/>
          <w:szCs w:val="24"/>
          <w:lang w:eastAsia="es-CO"/>
        </w:rPr>
        <w:t>DIAN</w:t>
      </w:r>
    </w:p>
    <w:p w14:paraId="03E9578F"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p w14:paraId="29D0C1AC"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p w14:paraId="48A2AA37"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Subdirección de Normativa y Doctrina</w:t>
      </w:r>
    </w:p>
    <w:p w14:paraId="2368EBCE"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100208192-749</w:t>
      </w:r>
    </w:p>
    <w:p w14:paraId="0B2AFFED"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Bogotá, D.C.</w:t>
      </w:r>
    </w:p>
    <w:p w14:paraId="0BA8E285"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tbl>
      <w:tblPr>
        <w:tblW w:w="0" w:type="auto"/>
        <w:tblCellMar>
          <w:left w:w="0" w:type="dxa"/>
          <w:right w:w="0" w:type="dxa"/>
        </w:tblCellMar>
        <w:tblLook w:val="04A0" w:firstRow="1" w:lastRow="0" w:firstColumn="1" w:lastColumn="0" w:noHBand="0" w:noVBand="1"/>
      </w:tblPr>
      <w:tblGrid>
        <w:gridCol w:w="1988"/>
        <w:gridCol w:w="276"/>
        <w:gridCol w:w="276"/>
        <w:gridCol w:w="6816"/>
      </w:tblGrid>
      <w:tr w:rsidR="008333C8" w:rsidRPr="008333C8" w14:paraId="0673F72E" w14:textId="77777777" w:rsidTr="000D4FFF">
        <w:tc>
          <w:tcPr>
            <w:tcW w:w="0" w:type="auto"/>
            <w:tcBorders>
              <w:top w:val="nil"/>
              <w:left w:val="nil"/>
              <w:bottom w:val="nil"/>
              <w:right w:val="nil"/>
            </w:tcBorders>
            <w:shd w:val="clear" w:color="auto" w:fill="auto"/>
            <w:tcMar>
              <w:top w:w="0" w:type="dxa"/>
              <w:left w:w="108" w:type="dxa"/>
              <w:bottom w:w="0" w:type="dxa"/>
              <w:right w:w="108" w:type="dxa"/>
            </w:tcMar>
            <w:hideMark/>
          </w:tcPr>
          <w:p w14:paraId="6906BD5D"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29B89B4"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3FE8DF6"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79912D3"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Procedimiento tributario</w:t>
            </w:r>
          </w:p>
        </w:tc>
      </w:tr>
      <w:tr w:rsidR="008333C8" w:rsidRPr="008333C8" w14:paraId="03E954C9" w14:textId="77777777" w:rsidTr="000D4FFF">
        <w:tc>
          <w:tcPr>
            <w:tcW w:w="0" w:type="auto"/>
            <w:tcBorders>
              <w:top w:val="nil"/>
              <w:left w:val="nil"/>
              <w:bottom w:val="nil"/>
              <w:right w:val="nil"/>
            </w:tcBorders>
            <w:shd w:val="clear" w:color="auto" w:fill="auto"/>
            <w:tcMar>
              <w:top w:w="0" w:type="dxa"/>
              <w:left w:w="108" w:type="dxa"/>
              <w:bottom w:w="0" w:type="dxa"/>
              <w:right w:w="108" w:type="dxa"/>
            </w:tcMar>
            <w:hideMark/>
          </w:tcPr>
          <w:p w14:paraId="29DE60FA"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33B1250"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C3A6972"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7EC00DA"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Período gravable del impuesto sobre las ventas</w:t>
            </w:r>
          </w:p>
        </w:tc>
      </w:tr>
      <w:tr w:rsidR="008333C8" w:rsidRPr="008333C8" w14:paraId="5E36DBAA" w14:textId="77777777" w:rsidTr="000D4FFF">
        <w:tc>
          <w:tcPr>
            <w:tcW w:w="0" w:type="auto"/>
            <w:tcBorders>
              <w:top w:val="nil"/>
              <w:left w:val="nil"/>
              <w:bottom w:val="nil"/>
              <w:right w:val="nil"/>
            </w:tcBorders>
            <w:shd w:val="clear" w:color="auto" w:fill="auto"/>
            <w:tcMar>
              <w:top w:w="0" w:type="dxa"/>
              <w:left w:w="108" w:type="dxa"/>
              <w:bottom w:w="0" w:type="dxa"/>
              <w:right w:w="108" w:type="dxa"/>
            </w:tcMar>
            <w:hideMark/>
          </w:tcPr>
          <w:p w14:paraId="29664F3B"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4FA445A"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01D1A32"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782C06A" w14:textId="77777777" w:rsidR="000D4FFF" w:rsidRPr="008333C8" w:rsidRDefault="008333C8" w:rsidP="00A351B3">
            <w:pPr>
              <w:spacing w:after="0" w:line="360" w:lineRule="auto"/>
              <w:jc w:val="both"/>
              <w:rPr>
                <w:rFonts w:eastAsia="Times New Roman" w:cs="Times New Roman"/>
                <w:szCs w:val="24"/>
                <w:lang w:eastAsia="es-CO"/>
              </w:rPr>
            </w:pPr>
            <w:hyperlink r:id="rId4" w:tooltip="Estatuto Tributario CETA" w:history="1">
              <w:r w:rsidR="000D4FFF" w:rsidRPr="008333C8">
                <w:rPr>
                  <w:rFonts w:eastAsia="Times New Roman" w:cs="Times New Roman"/>
                  <w:szCs w:val="24"/>
                  <w:u w:val="single"/>
                  <w:lang w:eastAsia="es-CO"/>
                </w:rPr>
                <w:t>Artículo 600</w:t>
              </w:r>
            </w:hyperlink>
            <w:r w:rsidR="000D4FFF" w:rsidRPr="008333C8">
              <w:rPr>
                <w:rFonts w:eastAsia="Times New Roman" w:cs="Times New Roman"/>
                <w:szCs w:val="24"/>
                <w:lang w:eastAsia="es-CO"/>
              </w:rPr>
              <w:t> del Estatuto Tributario</w:t>
            </w:r>
          </w:p>
          <w:p w14:paraId="0E1C6A98"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Artículos 1.6.1.6.1., 1.6.1.13.2.30. y 1.6.1.13.2.31. del Decreto 1625 de 2016</w:t>
            </w:r>
          </w:p>
          <w:p w14:paraId="7331F2A7"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xml:space="preserve">Oficio DIAN 903663 </w:t>
            </w:r>
            <w:proofErr w:type="spellStart"/>
            <w:r w:rsidRPr="008333C8">
              <w:rPr>
                <w:rFonts w:eastAsia="Times New Roman" w:cs="Times New Roman"/>
                <w:szCs w:val="24"/>
                <w:lang w:eastAsia="es-CO"/>
              </w:rPr>
              <w:t>Int</w:t>
            </w:r>
            <w:proofErr w:type="spellEnd"/>
            <w:r w:rsidRPr="008333C8">
              <w:rPr>
                <w:rFonts w:eastAsia="Times New Roman" w:cs="Times New Roman"/>
                <w:szCs w:val="24"/>
                <w:lang w:eastAsia="es-CO"/>
              </w:rPr>
              <w:t>. 064 de 2022</w:t>
            </w:r>
          </w:p>
        </w:tc>
      </w:tr>
    </w:tbl>
    <w:p w14:paraId="7995F148"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p w14:paraId="08563FE9"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p w14:paraId="6FDE7EB8"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Cordial saludo, Sr. Flórez.</w:t>
      </w:r>
    </w:p>
    <w:p w14:paraId="45B05812"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p w14:paraId="192F94DD"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16EB275"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p w14:paraId="1EC119FB"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Mediante el radicado de la referencia el peticionario propone un supuesto según el cual una sociedad absorbente, que declara IVA cuatrimestralmente, luego de un proceso de fusión absorbe a una sociedad absorbida, que venía declarando IVA bimestralmente por su calidad de exportador, aunque los ingresos de la absorbida en el año anterior fueron menos de 92.000 UVT. Frente a este supuesto, el peticionario consulta:</w:t>
      </w:r>
    </w:p>
    <w:p w14:paraId="710E861A"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p w14:paraId="553B7E11" w14:textId="77777777" w:rsidR="000D4FFF" w:rsidRPr="008333C8" w:rsidRDefault="000D4FFF" w:rsidP="00A351B3">
      <w:pPr>
        <w:spacing w:after="0" w:line="360" w:lineRule="auto"/>
        <w:ind w:left="284"/>
        <w:jc w:val="both"/>
        <w:rPr>
          <w:rFonts w:eastAsia="Times New Roman" w:cs="Times New Roman"/>
          <w:szCs w:val="24"/>
          <w:lang w:eastAsia="es-CO"/>
        </w:rPr>
      </w:pPr>
      <w:r w:rsidRPr="008333C8">
        <w:rPr>
          <w:rFonts w:eastAsia="Times New Roman" w:cs="Times New Roman"/>
          <w:i/>
          <w:iCs/>
          <w:szCs w:val="24"/>
          <w:lang w:eastAsia="es-CO"/>
        </w:rPr>
        <w:t>“1. ¿Qué periodicidad o período gravable de IVA de la sociedad ABSORBENTE sería el aplicable, teniendo en cuenta que la ABSORBENTE no efectúa actos de exportación a pesar de que tenía registrado en el RUT la calidad de exportador?</w:t>
      </w:r>
    </w:p>
    <w:p w14:paraId="66603E4C" w14:textId="77777777" w:rsidR="000D4FFF" w:rsidRPr="008333C8" w:rsidRDefault="000D4FFF" w:rsidP="00A351B3">
      <w:pPr>
        <w:spacing w:after="0" w:line="360" w:lineRule="auto"/>
        <w:ind w:left="284"/>
        <w:jc w:val="both"/>
        <w:rPr>
          <w:rFonts w:eastAsia="Times New Roman" w:cs="Times New Roman"/>
          <w:szCs w:val="24"/>
          <w:lang w:eastAsia="es-CO"/>
        </w:rPr>
      </w:pPr>
      <w:r w:rsidRPr="008333C8">
        <w:rPr>
          <w:rFonts w:eastAsia="Times New Roman" w:cs="Times New Roman"/>
          <w:i/>
          <w:iCs/>
          <w:szCs w:val="24"/>
          <w:lang w:eastAsia="es-CO"/>
        </w:rPr>
        <w:t> </w:t>
      </w:r>
    </w:p>
    <w:p w14:paraId="1542C793" w14:textId="77777777" w:rsidR="000D4FFF" w:rsidRPr="008333C8" w:rsidRDefault="000D4FFF" w:rsidP="00A351B3">
      <w:pPr>
        <w:spacing w:after="0" w:line="360" w:lineRule="auto"/>
        <w:ind w:left="284"/>
        <w:jc w:val="both"/>
        <w:rPr>
          <w:rFonts w:eastAsia="Times New Roman" w:cs="Times New Roman"/>
          <w:szCs w:val="24"/>
          <w:lang w:eastAsia="es-CO"/>
        </w:rPr>
      </w:pPr>
      <w:r w:rsidRPr="008333C8">
        <w:rPr>
          <w:rFonts w:eastAsia="Times New Roman" w:cs="Times New Roman"/>
          <w:i/>
          <w:iCs/>
          <w:szCs w:val="24"/>
          <w:lang w:eastAsia="es-CO"/>
        </w:rPr>
        <w:t xml:space="preserve">2. Si la sociedad ABSORBENTE inicia operación de exportación en el mes siguiente a la fusión, ¿tal acto por sí solo modifica en la sociedad ABSORBENTE la periodicidad del IVA de </w:t>
      </w:r>
      <w:r w:rsidRPr="008333C8">
        <w:rPr>
          <w:rFonts w:eastAsia="Times New Roman" w:cs="Times New Roman"/>
          <w:i/>
          <w:iCs/>
          <w:szCs w:val="24"/>
          <w:lang w:eastAsia="es-CO"/>
        </w:rPr>
        <w:lastRenderedPageBreak/>
        <w:t>cuatrimestral a bimestral?, ¿y si lo modifica seria en el próximo bimestre dentro del período fiscal? ¿o lo modificaría para el período fiscal del año 2023?”</w:t>
      </w:r>
    </w:p>
    <w:p w14:paraId="3DEEFD56"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i/>
          <w:iCs/>
          <w:szCs w:val="24"/>
          <w:lang w:eastAsia="es-CO"/>
        </w:rPr>
        <w:t> </w:t>
      </w:r>
    </w:p>
    <w:p w14:paraId="1479A928"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Adicionalmente, se consulta el procedimiento para realizar la presentación de la declaración del impuesto sobre la renta de la sociedad absorbida luego de la cancelación de su Registro Único Tributario -RUT producto del proceso de fusión.</w:t>
      </w:r>
    </w:p>
    <w:p w14:paraId="1A5B2000"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p w14:paraId="34E769E1"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Sobre el particular, las consideraciones generales de este Despacho son las siguientes, no sin antes reiterar que no le corresponde pronunciarse sobre situaciones de carácter particular ni prestar asesoría específica, por lo que </w:t>
      </w:r>
      <w:r w:rsidRPr="008333C8">
        <w:rPr>
          <w:rFonts w:eastAsia="Times New Roman" w:cs="Times New Roman"/>
          <w:b/>
          <w:bCs/>
          <w:szCs w:val="24"/>
          <w:lang w:eastAsia="es-CO"/>
        </w:rPr>
        <w:t>corresponderá al peticionario definir, en su caso particular, las obligaciones tributarias sustanciales y formales a las que haya lugar</w:t>
      </w:r>
      <w:r w:rsidRPr="008333C8">
        <w:rPr>
          <w:rFonts w:eastAsia="Times New Roman" w:cs="Times New Roman"/>
          <w:szCs w:val="24"/>
          <w:lang w:eastAsia="es-CO"/>
        </w:rPr>
        <w:t>.</w:t>
      </w:r>
    </w:p>
    <w:p w14:paraId="2CD5BA53"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p w14:paraId="1E59D6F9"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De conformidad con el numeral 1 del </w:t>
      </w:r>
      <w:hyperlink r:id="rId5" w:tooltip="Estatuto Tributario CETA" w:history="1">
        <w:r w:rsidRPr="008333C8">
          <w:rPr>
            <w:rFonts w:eastAsia="Times New Roman" w:cs="Times New Roman"/>
            <w:szCs w:val="24"/>
            <w:u w:val="single"/>
            <w:lang w:eastAsia="es-CO"/>
          </w:rPr>
          <w:t>artículo 600</w:t>
        </w:r>
      </w:hyperlink>
      <w:r w:rsidRPr="008333C8">
        <w:rPr>
          <w:rFonts w:eastAsia="Times New Roman" w:cs="Times New Roman"/>
          <w:szCs w:val="24"/>
          <w:lang w:eastAsia="es-CO"/>
        </w:rPr>
        <w:t> del Estatuto Tributario, aquellos responsables del impuesto sobre las ventas -IVA que se dediquen a la exportación de bienes corporales muebles (responsables en los términos del </w:t>
      </w:r>
      <w:hyperlink r:id="rId6" w:tooltip="Estatuto Tributario CETA" w:history="1">
        <w:r w:rsidRPr="008333C8">
          <w:rPr>
            <w:rFonts w:eastAsia="Times New Roman" w:cs="Times New Roman"/>
            <w:szCs w:val="24"/>
            <w:u w:val="single"/>
            <w:lang w:eastAsia="es-CO"/>
          </w:rPr>
          <w:t>artículo 481</w:t>
        </w:r>
      </w:hyperlink>
      <w:r w:rsidRPr="008333C8">
        <w:rPr>
          <w:rFonts w:eastAsia="Times New Roman" w:cs="Times New Roman"/>
          <w:szCs w:val="24"/>
          <w:lang w:eastAsia="es-CO"/>
        </w:rPr>
        <w:t> </w:t>
      </w:r>
      <w:r w:rsidRPr="008333C8">
        <w:rPr>
          <w:rFonts w:eastAsia="Times New Roman" w:cs="Times New Roman"/>
          <w:i/>
          <w:iCs/>
          <w:szCs w:val="24"/>
          <w:lang w:eastAsia="es-CO"/>
        </w:rPr>
        <w:t>ibídem</w:t>
      </w:r>
      <w:r w:rsidRPr="008333C8">
        <w:rPr>
          <w:rFonts w:eastAsia="Times New Roman" w:cs="Times New Roman"/>
          <w:szCs w:val="24"/>
          <w:lang w:eastAsia="es-CO"/>
        </w:rPr>
        <w:t>) deben cumplir con la presentación bimestral de la declaración del impuesto.</w:t>
      </w:r>
    </w:p>
    <w:p w14:paraId="7798D99B"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p w14:paraId="3DE116A1"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xml:space="preserve">El Oficio DIAN 903663 </w:t>
      </w:r>
      <w:proofErr w:type="spellStart"/>
      <w:r w:rsidRPr="008333C8">
        <w:rPr>
          <w:rFonts w:eastAsia="Times New Roman" w:cs="Times New Roman"/>
          <w:szCs w:val="24"/>
          <w:lang w:eastAsia="es-CO"/>
        </w:rPr>
        <w:t>int</w:t>
      </w:r>
      <w:proofErr w:type="spellEnd"/>
      <w:r w:rsidRPr="008333C8">
        <w:rPr>
          <w:rFonts w:eastAsia="Times New Roman" w:cs="Times New Roman"/>
          <w:szCs w:val="24"/>
          <w:lang w:eastAsia="es-CO"/>
        </w:rPr>
        <w:t>. 064 de 2022 se pronunció frente al carácter declarativo del RUT y la periodicidad de IVA para quienes efectivamente realicen operaciones de exportación. A continuación, se cita el Oficio en extenso dada su pertinencia:</w:t>
      </w:r>
    </w:p>
    <w:p w14:paraId="7F2DFA1F"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p w14:paraId="21E17D16" w14:textId="77777777" w:rsidR="000D4FFF" w:rsidRPr="008333C8" w:rsidRDefault="000D4FFF" w:rsidP="00A351B3">
      <w:pPr>
        <w:spacing w:after="0" w:line="360" w:lineRule="auto"/>
        <w:ind w:left="284"/>
        <w:jc w:val="both"/>
        <w:rPr>
          <w:rFonts w:eastAsia="Times New Roman" w:cs="Times New Roman"/>
          <w:szCs w:val="24"/>
          <w:lang w:eastAsia="es-CO"/>
        </w:rPr>
      </w:pPr>
      <w:r w:rsidRPr="008333C8">
        <w:rPr>
          <w:rFonts w:eastAsia="Times New Roman" w:cs="Times New Roman"/>
          <w:i/>
          <w:iCs/>
          <w:szCs w:val="24"/>
          <w:lang w:eastAsia="es-CO"/>
        </w:rPr>
        <w:t>“(…) concluye esta Dirección que </w:t>
      </w:r>
      <w:r w:rsidRPr="008333C8">
        <w:rPr>
          <w:rFonts w:eastAsia="Times New Roman" w:cs="Times New Roman"/>
          <w:b/>
          <w:bCs/>
          <w:i/>
          <w:iCs/>
          <w:szCs w:val="24"/>
          <w:u w:val="single"/>
          <w:lang w:eastAsia="es-CO"/>
        </w:rPr>
        <w:t>el RUT es de carácter declarativo</w:t>
      </w:r>
      <w:r w:rsidRPr="008333C8">
        <w:rPr>
          <w:rFonts w:eastAsia="Times New Roman" w:cs="Times New Roman"/>
          <w:i/>
          <w:iCs/>
          <w:szCs w:val="24"/>
          <w:lang w:eastAsia="es-CO"/>
        </w:rPr>
        <w:t>. Asimismo, es menester reiterar que el administrado “puede utilizar todos los medios probatorios señalados en la ley” para demostrar si tiene o no las calidades de responsable del IVA y exportador.</w:t>
      </w:r>
    </w:p>
    <w:p w14:paraId="6288785A" w14:textId="77777777" w:rsidR="000D4FFF" w:rsidRPr="008333C8" w:rsidRDefault="000D4FFF" w:rsidP="00A351B3">
      <w:pPr>
        <w:spacing w:after="0" w:line="360" w:lineRule="auto"/>
        <w:ind w:left="284"/>
        <w:jc w:val="both"/>
        <w:rPr>
          <w:rFonts w:eastAsia="Times New Roman" w:cs="Times New Roman"/>
          <w:szCs w:val="24"/>
          <w:lang w:eastAsia="es-CO"/>
        </w:rPr>
      </w:pPr>
      <w:r w:rsidRPr="008333C8">
        <w:rPr>
          <w:rFonts w:eastAsia="Times New Roman" w:cs="Times New Roman"/>
          <w:i/>
          <w:iCs/>
          <w:szCs w:val="24"/>
          <w:lang w:eastAsia="es-CO"/>
        </w:rPr>
        <w:t> </w:t>
      </w:r>
    </w:p>
    <w:p w14:paraId="287DF9DA" w14:textId="77777777" w:rsidR="000D4FFF" w:rsidRPr="008333C8" w:rsidRDefault="000D4FFF" w:rsidP="00A351B3">
      <w:pPr>
        <w:spacing w:after="0" w:line="360" w:lineRule="auto"/>
        <w:ind w:left="284"/>
        <w:jc w:val="both"/>
        <w:rPr>
          <w:rFonts w:eastAsia="Times New Roman" w:cs="Times New Roman"/>
          <w:szCs w:val="24"/>
          <w:lang w:eastAsia="es-CO"/>
        </w:rPr>
      </w:pPr>
      <w:r w:rsidRPr="008333C8">
        <w:rPr>
          <w:rFonts w:eastAsia="Times New Roman" w:cs="Times New Roman"/>
          <w:i/>
          <w:iCs/>
          <w:szCs w:val="24"/>
          <w:lang w:eastAsia="es-CO"/>
        </w:rPr>
        <w:t>Por lo mismo, atendiendo lo contemplado en el </w:t>
      </w:r>
      <w:hyperlink r:id="rId7" w:tooltip="Estatuto Tributario CETA" w:history="1">
        <w:r w:rsidRPr="008333C8">
          <w:rPr>
            <w:rFonts w:eastAsia="Times New Roman" w:cs="Times New Roman"/>
            <w:i/>
            <w:iCs/>
            <w:szCs w:val="24"/>
            <w:u w:val="single"/>
            <w:lang w:eastAsia="es-CO"/>
          </w:rPr>
          <w:t>artículo 600</w:t>
        </w:r>
      </w:hyperlink>
      <w:r w:rsidRPr="008333C8">
        <w:rPr>
          <w:rFonts w:eastAsia="Times New Roman" w:cs="Times New Roman"/>
          <w:i/>
          <w:iCs/>
          <w:szCs w:val="24"/>
          <w:lang w:eastAsia="es-CO"/>
        </w:rPr>
        <w:t> del Estatuto Tributario, </w:t>
      </w:r>
      <w:r w:rsidRPr="008333C8">
        <w:rPr>
          <w:rFonts w:eastAsia="Times New Roman" w:cs="Times New Roman"/>
          <w:b/>
          <w:bCs/>
          <w:i/>
          <w:iCs/>
          <w:szCs w:val="24"/>
          <w:u w:val="single"/>
          <w:lang w:eastAsia="es-CO"/>
        </w:rPr>
        <w:t>están</w:t>
      </w:r>
      <w:r w:rsidRPr="008333C8">
        <w:rPr>
          <w:rFonts w:eastAsia="Times New Roman" w:cs="Times New Roman"/>
          <w:b/>
          <w:bCs/>
          <w:i/>
          <w:iCs/>
          <w:szCs w:val="24"/>
          <w:lang w:eastAsia="es-CO"/>
        </w:rPr>
        <w:t> </w:t>
      </w:r>
      <w:r w:rsidRPr="008333C8">
        <w:rPr>
          <w:rFonts w:eastAsia="Times New Roman" w:cs="Times New Roman"/>
          <w:b/>
          <w:bCs/>
          <w:i/>
          <w:iCs/>
          <w:szCs w:val="24"/>
          <w:u w:val="single"/>
          <w:lang w:eastAsia="es-CO"/>
        </w:rPr>
        <w:t>obligados a declarar y pagar el IVA de manera bimestral los exportadores (al ser</w:t>
      </w:r>
      <w:r w:rsidRPr="008333C8">
        <w:rPr>
          <w:rFonts w:eastAsia="Times New Roman" w:cs="Times New Roman"/>
          <w:b/>
          <w:bCs/>
          <w:i/>
          <w:iCs/>
          <w:szCs w:val="24"/>
          <w:lang w:eastAsia="es-CO"/>
        </w:rPr>
        <w:t> </w:t>
      </w:r>
      <w:r w:rsidRPr="008333C8">
        <w:rPr>
          <w:rFonts w:eastAsia="Times New Roman" w:cs="Times New Roman"/>
          <w:b/>
          <w:bCs/>
          <w:i/>
          <w:iCs/>
          <w:szCs w:val="24"/>
          <w:u w:val="single"/>
          <w:lang w:eastAsia="es-CO"/>
        </w:rPr>
        <w:t>responsables en los términos del </w:t>
      </w:r>
      <w:hyperlink r:id="rId8" w:tooltip="Estatuto Tributario CETA" w:history="1">
        <w:r w:rsidRPr="008333C8">
          <w:rPr>
            <w:rFonts w:eastAsia="Times New Roman" w:cs="Times New Roman"/>
            <w:b/>
            <w:bCs/>
            <w:i/>
            <w:iCs/>
            <w:szCs w:val="24"/>
            <w:u w:val="single"/>
            <w:lang w:eastAsia="es-CO"/>
          </w:rPr>
          <w:t>artículo 481</w:t>
        </w:r>
      </w:hyperlink>
      <w:r w:rsidRPr="008333C8">
        <w:rPr>
          <w:rFonts w:eastAsia="Times New Roman" w:cs="Times New Roman"/>
          <w:b/>
          <w:bCs/>
          <w:i/>
          <w:iCs/>
          <w:szCs w:val="24"/>
          <w:u w:val="single"/>
          <w:lang w:eastAsia="es-CO"/>
        </w:rPr>
        <w:t> ibídem); calidad que, como se</w:t>
      </w:r>
      <w:r w:rsidRPr="008333C8">
        <w:rPr>
          <w:rFonts w:eastAsia="Times New Roman" w:cs="Times New Roman"/>
          <w:b/>
          <w:bCs/>
          <w:i/>
          <w:iCs/>
          <w:szCs w:val="24"/>
          <w:lang w:eastAsia="es-CO"/>
        </w:rPr>
        <w:t> </w:t>
      </w:r>
      <w:r w:rsidRPr="008333C8">
        <w:rPr>
          <w:rFonts w:eastAsia="Times New Roman" w:cs="Times New Roman"/>
          <w:b/>
          <w:bCs/>
          <w:i/>
          <w:iCs/>
          <w:szCs w:val="24"/>
          <w:u w:val="single"/>
          <w:lang w:eastAsia="es-CO"/>
        </w:rPr>
        <w:t>indicó, deviene de realizar efectivamente actividades de exportación y no por su</w:t>
      </w:r>
      <w:r w:rsidRPr="008333C8">
        <w:rPr>
          <w:rFonts w:eastAsia="Times New Roman" w:cs="Times New Roman"/>
          <w:b/>
          <w:bCs/>
          <w:i/>
          <w:iCs/>
          <w:szCs w:val="24"/>
          <w:lang w:eastAsia="es-CO"/>
        </w:rPr>
        <w:t> </w:t>
      </w:r>
      <w:r w:rsidRPr="008333C8">
        <w:rPr>
          <w:rFonts w:eastAsia="Times New Roman" w:cs="Times New Roman"/>
          <w:b/>
          <w:bCs/>
          <w:i/>
          <w:iCs/>
          <w:szCs w:val="24"/>
          <w:u w:val="single"/>
          <w:lang w:eastAsia="es-CO"/>
        </w:rPr>
        <w:t>mera anotación en el RUT</w:t>
      </w:r>
      <w:r w:rsidRPr="008333C8">
        <w:rPr>
          <w:rFonts w:eastAsia="Times New Roman" w:cs="Times New Roman"/>
          <w:i/>
          <w:iCs/>
          <w:szCs w:val="24"/>
          <w:lang w:eastAsia="es-CO"/>
        </w:rPr>
        <w:t>.</w:t>
      </w:r>
    </w:p>
    <w:p w14:paraId="03E6DBEB" w14:textId="77777777" w:rsidR="000D4FFF" w:rsidRPr="008333C8" w:rsidRDefault="000D4FFF" w:rsidP="00A351B3">
      <w:pPr>
        <w:spacing w:after="0" w:line="360" w:lineRule="auto"/>
        <w:ind w:left="284"/>
        <w:jc w:val="both"/>
        <w:rPr>
          <w:rFonts w:eastAsia="Times New Roman" w:cs="Times New Roman"/>
          <w:szCs w:val="24"/>
          <w:lang w:eastAsia="es-CO"/>
        </w:rPr>
      </w:pPr>
      <w:r w:rsidRPr="008333C8">
        <w:rPr>
          <w:rFonts w:eastAsia="Times New Roman" w:cs="Times New Roman"/>
          <w:i/>
          <w:iCs/>
          <w:szCs w:val="24"/>
          <w:lang w:eastAsia="es-CO"/>
        </w:rPr>
        <w:t> </w:t>
      </w:r>
    </w:p>
    <w:p w14:paraId="4A8F70EE" w14:textId="77777777" w:rsidR="000D4FFF" w:rsidRPr="008333C8" w:rsidRDefault="000D4FFF" w:rsidP="00A351B3">
      <w:pPr>
        <w:spacing w:after="0" w:line="360" w:lineRule="auto"/>
        <w:ind w:left="284"/>
        <w:jc w:val="both"/>
        <w:rPr>
          <w:rFonts w:eastAsia="Times New Roman" w:cs="Times New Roman"/>
          <w:szCs w:val="24"/>
          <w:lang w:eastAsia="es-CO"/>
        </w:rPr>
      </w:pPr>
      <w:r w:rsidRPr="008333C8">
        <w:rPr>
          <w:rFonts w:eastAsia="Times New Roman" w:cs="Times New Roman"/>
          <w:i/>
          <w:iCs/>
          <w:szCs w:val="24"/>
          <w:lang w:eastAsia="es-CO"/>
        </w:rPr>
        <w:t>Finalmente, se deben realizar las siguientes precisiones:</w:t>
      </w:r>
    </w:p>
    <w:p w14:paraId="7BEC3AE4" w14:textId="77777777" w:rsidR="000D4FFF" w:rsidRPr="008333C8" w:rsidRDefault="000D4FFF" w:rsidP="00A351B3">
      <w:pPr>
        <w:spacing w:after="0" w:line="360" w:lineRule="auto"/>
        <w:ind w:left="284"/>
        <w:jc w:val="both"/>
        <w:rPr>
          <w:rFonts w:eastAsia="Times New Roman" w:cs="Times New Roman"/>
          <w:szCs w:val="24"/>
          <w:lang w:eastAsia="es-CO"/>
        </w:rPr>
      </w:pPr>
      <w:r w:rsidRPr="008333C8">
        <w:rPr>
          <w:rFonts w:eastAsia="Times New Roman" w:cs="Times New Roman"/>
          <w:i/>
          <w:iCs/>
          <w:szCs w:val="24"/>
          <w:lang w:eastAsia="es-CO"/>
        </w:rPr>
        <w:t> </w:t>
      </w:r>
    </w:p>
    <w:p w14:paraId="309C3444" w14:textId="77777777" w:rsidR="000D4FFF" w:rsidRPr="008333C8" w:rsidRDefault="000D4FFF" w:rsidP="00A351B3">
      <w:pPr>
        <w:spacing w:after="0" w:line="360" w:lineRule="auto"/>
        <w:ind w:left="284"/>
        <w:jc w:val="both"/>
        <w:rPr>
          <w:rFonts w:eastAsia="Times New Roman" w:cs="Times New Roman"/>
          <w:szCs w:val="24"/>
          <w:lang w:eastAsia="es-CO"/>
        </w:rPr>
      </w:pPr>
      <w:r w:rsidRPr="008333C8">
        <w:rPr>
          <w:rFonts w:eastAsia="Times New Roman" w:cs="Times New Roman"/>
          <w:i/>
          <w:iCs/>
          <w:szCs w:val="24"/>
          <w:highlight w:val="yellow"/>
          <w:lang w:eastAsia="es-CO"/>
        </w:rPr>
        <w:t>i) La periodicidad para declarar y pagar el IVA está contemplada en el </w:t>
      </w:r>
      <w:hyperlink r:id="rId9" w:tooltip="Estatuto Tributario CETA" w:history="1">
        <w:r w:rsidRPr="008333C8">
          <w:rPr>
            <w:rFonts w:eastAsia="Times New Roman" w:cs="Times New Roman"/>
            <w:i/>
            <w:iCs/>
            <w:szCs w:val="24"/>
            <w:highlight w:val="yellow"/>
            <w:u w:val="single"/>
            <w:lang w:eastAsia="es-CO"/>
          </w:rPr>
          <w:t>artículo 600</w:t>
        </w:r>
      </w:hyperlink>
      <w:r w:rsidRPr="008333C8">
        <w:rPr>
          <w:rFonts w:eastAsia="Times New Roman" w:cs="Times New Roman"/>
          <w:i/>
          <w:iCs/>
          <w:szCs w:val="24"/>
          <w:highlight w:val="yellow"/>
          <w:lang w:eastAsia="es-CO"/>
        </w:rPr>
        <w:t xml:space="preserve"> del Estatuto Tributario tomando como base hechos con relevancia económica y jurídica como son la obtención de ingresos “de orden fiscal, provenientes de actividades gravadas y/o exentas con el impuesto sobre las ventas – IVA” (cfr. Oficios </w:t>
      </w:r>
      <w:proofErr w:type="spellStart"/>
      <w:r w:rsidRPr="008333C8">
        <w:rPr>
          <w:rFonts w:eastAsia="Times New Roman" w:cs="Times New Roman"/>
          <w:i/>
          <w:iCs/>
          <w:szCs w:val="24"/>
          <w:highlight w:val="yellow"/>
          <w:lang w:eastAsia="es-CO"/>
        </w:rPr>
        <w:t>N°</w:t>
      </w:r>
      <w:proofErr w:type="spellEnd"/>
      <w:r w:rsidRPr="008333C8">
        <w:rPr>
          <w:rFonts w:eastAsia="Times New Roman" w:cs="Times New Roman"/>
          <w:i/>
          <w:iCs/>
          <w:szCs w:val="24"/>
          <w:highlight w:val="yellow"/>
          <w:lang w:eastAsia="es-CO"/>
        </w:rPr>
        <w:t xml:space="preserve"> 907764 - interno 283 del 3 de agosto de 2021 y </w:t>
      </w:r>
      <w:proofErr w:type="spellStart"/>
      <w:r w:rsidRPr="008333C8">
        <w:rPr>
          <w:rFonts w:eastAsia="Times New Roman" w:cs="Times New Roman"/>
          <w:i/>
          <w:iCs/>
          <w:szCs w:val="24"/>
          <w:highlight w:val="yellow"/>
          <w:lang w:eastAsia="es-CO"/>
        </w:rPr>
        <w:t>N°</w:t>
      </w:r>
      <w:proofErr w:type="spellEnd"/>
      <w:r w:rsidRPr="008333C8">
        <w:rPr>
          <w:rFonts w:eastAsia="Times New Roman" w:cs="Times New Roman"/>
          <w:i/>
          <w:iCs/>
          <w:szCs w:val="24"/>
          <w:highlight w:val="yellow"/>
          <w:lang w:eastAsia="es-CO"/>
        </w:rPr>
        <w:t xml:space="preserve"> 901741 - interno 025 del 7 de marzo de 2022) a 31 de diciembre del año gravable anterior, la realización de operaciones exentas del mencionado impuesto en los términos de los artículos </w:t>
      </w:r>
      <w:hyperlink r:id="rId10" w:tooltip="Estatuto Tributario CETA" w:history="1">
        <w:r w:rsidRPr="008333C8">
          <w:rPr>
            <w:rFonts w:eastAsia="Times New Roman" w:cs="Times New Roman"/>
            <w:i/>
            <w:iCs/>
            <w:szCs w:val="24"/>
            <w:highlight w:val="yellow"/>
            <w:u w:val="single"/>
            <w:lang w:eastAsia="es-CO"/>
          </w:rPr>
          <w:t>477</w:t>
        </w:r>
      </w:hyperlink>
      <w:r w:rsidRPr="008333C8">
        <w:rPr>
          <w:rFonts w:eastAsia="Times New Roman" w:cs="Times New Roman"/>
          <w:i/>
          <w:iCs/>
          <w:szCs w:val="24"/>
          <w:highlight w:val="yellow"/>
          <w:lang w:eastAsia="es-CO"/>
        </w:rPr>
        <w:t> y </w:t>
      </w:r>
      <w:hyperlink r:id="rId11" w:tooltip="Estatuto Tributario CETA" w:history="1">
        <w:r w:rsidRPr="008333C8">
          <w:rPr>
            <w:rFonts w:eastAsia="Times New Roman" w:cs="Times New Roman"/>
            <w:i/>
            <w:iCs/>
            <w:szCs w:val="24"/>
            <w:highlight w:val="yellow"/>
            <w:u w:val="single"/>
            <w:lang w:eastAsia="es-CO"/>
          </w:rPr>
          <w:t>481</w:t>
        </w:r>
      </w:hyperlink>
      <w:r w:rsidRPr="008333C8">
        <w:rPr>
          <w:rFonts w:eastAsia="Times New Roman" w:cs="Times New Roman"/>
          <w:i/>
          <w:iCs/>
          <w:szCs w:val="24"/>
          <w:highlight w:val="yellow"/>
          <w:lang w:eastAsia="es-CO"/>
        </w:rPr>
        <w:t> ibídem u ostentar la calidad de Gran Contribuyente.</w:t>
      </w:r>
    </w:p>
    <w:p w14:paraId="738DDCDB" w14:textId="77777777" w:rsidR="000D4FFF" w:rsidRPr="008333C8" w:rsidRDefault="000D4FFF" w:rsidP="00A351B3">
      <w:pPr>
        <w:spacing w:after="0" w:line="360" w:lineRule="auto"/>
        <w:ind w:left="284"/>
        <w:jc w:val="both"/>
        <w:rPr>
          <w:rFonts w:eastAsia="Times New Roman" w:cs="Times New Roman"/>
          <w:szCs w:val="24"/>
          <w:lang w:eastAsia="es-CO"/>
        </w:rPr>
      </w:pPr>
      <w:r w:rsidRPr="008333C8">
        <w:rPr>
          <w:rFonts w:eastAsia="Times New Roman" w:cs="Times New Roman"/>
          <w:i/>
          <w:iCs/>
          <w:szCs w:val="24"/>
          <w:lang w:eastAsia="es-CO"/>
        </w:rPr>
        <w:lastRenderedPageBreak/>
        <w:t> </w:t>
      </w:r>
    </w:p>
    <w:p w14:paraId="245EBAB1" w14:textId="77777777" w:rsidR="000D4FFF" w:rsidRPr="008333C8" w:rsidRDefault="000D4FFF" w:rsidP="00A351B3">
      <w:pPr>
        <w:spacing w:after="0" w:line="360" w:lineRule="auto"/>
        <w:ind w:left="284"/>
        <w:jc w:val="both"/>
        <w:rPr>
          <w:rFonts w:eastAsia="Times New Roman" w:cs="Times New Roman"/>
          <w:szCs w:val="24"/>
          <w:lang w:eastAsia="es-CO"/>
        </w:rPr>
      </w:pPr>
      <w:proofErr w:type="spellStart"/>
      <w:r w:rsidRPr="008333C8">
        <w:rPr>
          <w:rFonts w:eastAsia="Times New Roman" w:cs="Times New Roman"/>
          <w:b/>
          <w:bCs/>
          <w:i/>
          <w:iCs/>
          <w:szCs w:val="24"/>
          <w:highlight w:val="yellow"/>
          <w:lang w:eastAsia="es-CO"/>
        </w:rPr>
        <w:t>ii</w:t>
      </w:r>
      <w:proofErr w:type="spellEnd"/>
      <w:r w:rsidRPr="008333C8">
        <w:rPr>
          <w:rFonts w:eastAsia="Times New Roman" w:cs="Times New Roman"/>
          <w:b/>
          <w:bCs/>
          <w:i/>
          <w:iCs/>
          <w:szCs w:val="24"/>
          <w:highlight w:val="yellow"/>
          <w:lang w:eastAsia="es-CO"/>
        </w:rPr>
        <w:t>) </w:t>
      </w:r>
      <w:r w:rsidRPr="008333C8">
        <w:rPr>
          <w:rFonts w:eastAsia="Times New Roman" w:cs="Times New Roman"/>
          <w:b/>
          <w:bCs/>
          <w:i/>
          <w:iCs/>
          <w:szCs w:val="24"/>
          <w:highlight w:val="yellow"/>
          <w:u w:val="single"/>
          <w:lang w:eastAsia="es-CO"/>
        </w:rPr>
        <w:t>El hecho de que la persona natural o jurídica se inscriba en el RUT como</w:t>
      </w:r>
      <w:r w:rsidRPr="008333C8">
        <w:rPr>
          <w:rFonts w:eastAsia="Times New Roman" w:cs="Times New Roman"/>
          <w:b/>
          <w:bCs/>
          <w:i/>
          <w:iCs/>
          <w:szCs w:val="24"/>
          <w:highlight w:val="yellow"/>
          <w:lang w:eastAsia="es-CO"/>
        </w:rPr>
        <w:t> </w:t>
      </w:r>
      <w:r w:rsidRPr="008333C8">
        <w:rPr>
          <w:rFonts w:eastAsia="Times New Roman" w:cs="Times New Roman"/>
          <w:b/>
          <w:bCs/>
          <w:i/>
          <w:iCs/>
          <w:szCs w:val="24"/>
          <w:highlight w:val="yellow"/>
          <w:u w:val="single"/>
          <w:lang w:eastAsia="es-CO"/>
        </w:rPr>
        <w:t>exportador no implica ipso facto su obligación de presentar declaraciones</w:t>
      </w:r>
      <w:r w:rsidRPr="008333C8">
        <w:rPr>
          <w:rFonts w:eastAsia="Times New Roman" w:cs="Times New Roman"/>
          <w:b/>
          <w:bCs/>
          <w:i/>
          <w:iCs/>
          <w:szCs w:val="24"/>
          <w:highlight w:val="yellow"/>
          <w:lang w:eastAsia="es-CO"/>
        </w:rPr>
        <w:t> </w:t>
      </w:r>
      <w:r w:rsidRPr="008333C8">
        <w:rPr>
          <w:rFonts w:eastAsia="Times New Roman" w:cs="Times New Roman"/>
          <w:b/>
          <w:bCs/>
          <w:i/>
          <w:iCs/>
          <w:szCs w:val="24"/>
          <w:highlight w:val="yellow"/>
          <w:u w:val="single"/>
          <w:lang w:eastAsia="es-CO"/>
        </w:rPr>
        <w:t>bimestrales del IVA; lo cual -no obstante- si deberá realizar a partir del</w:t>
      </w:r>
      <w:r w:rsidRPr="008333C8">
        <w:rPr>
          <w:rFonts w:eastAsia="Times New Roman" w:cs="Times New Roman"/>
          <w:b/>
          <w:bCs/>
          <w:i/>
          <w:iCs/>
          <w:szCs w:val="24"/>
          <w:highlight w:val="yellow"/>
          <w:lang w:eastAsia="es-CO"/>
        </w:rPr>
        <w:t> </w:t>
      </w:r>
      <w:r w:rsidRPr="008333C8">
        <w:rPr>
          <w:rFonts w:eastAsia="Times New Roman" w:cs="Times New Roman"/>
          <w:b/>
          <w:bCs/>
          <w:i/>
          <w:iCs/>
          <w:szCs w:val="24"/>
          <w:highlight w:val="yellow"/>
          <w:u w:val="single"/>
          <w:lang w:eastAsia="es-CO"/>
        </w:rPr>
        <w:t>momento en el que se lleve a cabo efectivamente la primera operación de</w:t>
      </w:r>
      <w:r w:rsidRPr="008333C8">
        <w:rPr>
          <w:rFonts w:eastAsia="Times New Roman" w:cs="Times New Roman"/>
          <w:b/>
          <w:bCs/>
          <w:i/>
          <w:iCs/>
          <w:szCs w:val="24"/>
          <w:highlight w:val="yellow"/>
          <w:lang w:eastAsia="es-CO"/>
        </w:rPr>
        <w:t> </w:t>
      </w:r>
      <w:r w:rsidRPr="008333C8">
        <w:rPr>
          <w:rFonts w:eastAsia="Times New Roman" w:cs="Times New Roman"/>
          <w:b/>
          <w:bCs/>
          <w:i/>
          <w:iCs/>
          <w:szCs w:val="24"/>
          <w:highlight w:val="yellow"/>
          <w:u w:val="single"/>
          <w:lang w:eastAsia="es-CO"/>
        </w:rPr>
        <w:t>exportación</w:t>
      </w:r>
      <w:r w:rsidRPr="008333C8">
        <w:rPr>
          <w:rFonts w:eastAsia="Times New Roman" w:cs="Times New Roman"/>
          <w:i/>
          <w:iCs/>
          <w:szCs w:val="24"/>
          <w:lang w:eastAsia="es-CO"/>
        </w:rPr>
        <w:t>.</w:t>
      </w:r>
    </w:p>
    <w:p w14:paraId="612CD8F6" w14:textId="77777777" w:rsidR="000D4FFF" w:rsidRPr="008333C8" w:rsidRDefault="000D4FFF" w:rsidP="00A351B3">
      <w:pPr>
        <w:spacing w:after="0" w:line="360" w:lineRule="auto"/>
        <w:ind w:left="284"/>
        <w:jc w:val="both"/>
        <w:rPr>
          <w:rFonts w:eastAsia="Times New Roman" w:cs="Times New Roman"/>
          <w:szCs w:val="24"/>
          <w:lang w:eastAsia="es-CO"/>
        </w:rPr>
      </w:pPr>
      <w:r w:rsidRPr="008333C8">
        <w:rPr>
          <w:rFonts w:eastAsia="Times New Roman" w:cs="Times New Roman"/>
          <w:i/>
          <w:iCs/>
          <w:szCs w:val="24"/>
          <w:lang w:eastAsia="es-CO"/>
        </w:rPr>
        <w:t> </w:t>
      </w:r>
    </w:p>
    <w:p w14:paraId="108C4C35" w14:textId="77777777" w:rsidR="000D4FFF" w:rsidRPr="008333C8" w:rsidRDefault="000D4FFF" w:rsidP="00A351B3">
      <w:pPr>
        <w:spacing w:after="0" w:line="360" w:lineRule="auto"/>
        <w:ind w:left="284"/>
        <w:jc w:val="both"/>
        <w:rPr>
          <w:rFonts w:eastAsia="Times New Roman" w:cs="Times New Roman"/>
          <w:sz w:val="32"/>
          <w:szCs w:val="32"/>
          <w:lang w:eastAsia="es-CO"/>
        </w:rPr>
      </w:pPr>
      <w:proofErr w:type="spellStart"/>
      <w:r w:rsidRPr="008333C8">
        <w:rPr>
          <w:rFonts w:eastAsia="Times New Roman" w:cs="Times New Roman"/>
          <w:b/>
          <w:bCs/>
          <w:i/>
          <w:iCs/>
          <w:sz w:val="32"/>
          <w:szCs w:val="32"/>
          <w:highlight w:val="yellow"/>
          <w:lang w:eastAsia="es-CO"/>
        </w:rPr>
        <w:t>iii</w:t>
      </w:r>
      <w:proofErr w:type="spellEnd"/>
      <w:r w:rsidRPr="008333C8">
        <w:rPr>
          <w:rFonts w:eastAsia="Times New Roman" w:cs="Times New Roman"/>
          <w:b/>
          <w:bCs/>
          <w:i/>
          <w:iCs/>
          <w:sz w:val="32"/>
          <w:szCs w:val="32"/>
          <w:highlight w:val="yellow"/>
          <w:lang w:eastAsia="es-CO"/>
        </w:rPr>
        <w:t>) </w:t>
      </w:r>
      <w:r w:rsidRPr="008333C8">
        <w:rPr>
          <w:rFonts w:eastAsia="Times New Roman" w:cs="Times New Roman"/>
          <w:b/>
          <w:bCs/>
          <w:i/>
          <w:iCs/>
          <w:sz w:val="32"/>
          <w:szCs w:val="32"/>
          <w:highlight w:val="yellow"/>
          <w:u w:val="single"/>
          <w:lang w:eastAsia="es-CO"/>
        </w:rPr>
        <w:t>La periodicidad del IVA (bimestral o cuatrimestral) a la que esté</w:t>
      </w:r>
      <w:r w:rsidRPr="008333C8">
        <w:rPr>
          <w:rFonts w:eastAsia="Times New Roman" w:cs="Times New Roman"/>
          <w:b/>
          <w:bCs/>
          <w:i/>
          <w:iCs/>
          <w:sz w:val="32"/>
          <w:szCs w:val="32"/>
          <w:highlight w:val="yellow"/>
          <w:lang w:eastAsia="es-CO"/>
        </w:rPr>
        <w:t> </w:t>
      </w:r>
      <w:r w:rsidRPr="008333C8">
        <w:rPr>
          <w:rFonts w:eastAsia="Times New Roman" w:cs="Times New Roman"/>
          <w:b/>
          <w:bCs/>
          <w:i/>
          <w:iCs/>
          <w:sz w:val="32"/>
          <w:szCs w:val="32"/>
          <w:highlight w:val="yellow"/>
          <w:u w:val="single"/>
          <w:lang w:eastAsia="es-CO"/>
        </w:rPr>
        <w:t>sometido su responsable rige durante la totalidad del año calendario,</w:t>
      </w:r>
      <w:r w:rsidRPr="008333C8">
        <w:rPr>
          <w:rFonts w:eastAsia="Times New Roman" w:cs="Times New Roman"/>
          <w:b/>
          <w:bCs/>
          <w:i/>
          <w:iCs/>
          <w:sz w:val="32"/>
          <w:szCs w:val="32"/>
          <w:highlight w:val="yellow"/>
          <w:lang w:eastAsia="es-CO"/>
        </w:rPr>
        <w:t> </w:t>
      </w:r>
      <w:r w:rsidRPr="008333C8">
        <w:rPr>
          <w:rFonts w:eastAsia="Times New Roman" w:cs="Times New Roman"/>
          <w:b/>
          <w:bCs/>
          <w:i/>
          <w:iCs/>
          <w:sz w:val="32"/>
          <w:szCs w:val="32"/>
          <w:highlight w:val="yellow"/>
          <w:u w:val="single"/>
          <w:lang w:eastAsia="es-CO"/>
        </w:rPr>
        <w:t>siendo posible su cambio únicamente en la primera declaración de este</w:t>
      </w:r>
      <w:r w:rsidRPr="008333C8">
        <w:rPr>
          <w:rFonts w:eastAsia="Times New Roman" w:cs="Times New Roman"/>
          <w:b/>
          <w:bCs/>
          <w:i/>
          <w:iCs/>
          <w:sz w:val="32"/>
          <w:szCs w:val="32"/>
          <w:highlight w:val="yellow"/>
          <w:lang w:eastAsia="es-CO"/>
        </w:rPr>
        <w:t> </w:t>
      </w:r>
      <w:r w:rsidRPr="008333C8">
        <w:rPr>
          <w:rFonts w:eastAsia="Times New Roman" w:cs="Times New Roman"/>
          <w:b/>
          <w:bCs/>
          <w:i/>
          <w:iCs/>
          <w:sz w:val="32"/>
          <w:szCs w:val="32"/>
          <w:highlight w:val="yellow"/>
          <w:u w:val="single"/>
          <w:lang w:eastAsia="es-CO"/>
        </w:rPr>
        <w:t>impuesto que deba presentarse en el año siguiente</w:t>
      </w:r>
      <w:r w:rsidRPr="008333C8">
        <w:rPr>
          <w:rFonts w:eastAsia="Times New Roman" w:cs="Times New Roman"/>
          <w:b/>
          <w:bCs/>
          <w:i/>
          <w:iCs/>
          <w:sz w:val="32"/>
          <w:szCs w:val="32"/>
          <w:highlight w:val="yellow"/>
          <w:lang w:eastAsia="es-CO"/>
        </w:rPr>
        <w:t> </w:t>
      </w:r>
      <w:r w:rsidRPr="008333C8">
        <w:rPr>
          <w:rFonts w:eastAsia="Times New Roman" w:cs="Times New Roman"/>
          <w:i/>
          <w:iCs/>
          <w:sz w:val="32"/>
          <w:szCs w:val="32"/>
          <w:highlight w:val="yellow"/>
          <w:lang w:eastAsia="es-CO"/>
        </w:rPr>
        <w:t>(cfr. artículo 1.6.1.6.1. del Decreto 1625 de 2016 y parágrafos 4° del artículo 1.6.1.13.2.30. ibídem y 2° del artículo 1.6.1.13.2.31. ibídem)”. </w:t>
      </w:r>
      <w:r w:rsidRPr="008333C8">
        <w:rPr>
          <w:rFonts w:eastAsia="Times New Roman" w:cs="Times New Roman"/>
          <w:sz w:val="32"/>
          <w:szCs w:val="32"/>
          <w:highlight w:val="yellow"/>
          <w:lang w:eastAsia="es-CO"/>
        </w:rPr>
        <w:t>(Subrayado y negrilla fuera de texto)</w:t>
      </w:r>
    </w:p>
    <w:p w14:paraId="715443E0"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p w14:paraId="48BCD22C" w14:textId="77777777" w:rsidR="000D4FFF" w:rsidRPr="008333C8" w:rsidRDefault="000D4FFF" w:rsidP="00A351B3">
      <w:pPr>
        <w:spacing w:after="0" w:line="360" w:lineRule="auto"/>
        <w:jc w:val="both"/>
        <w:rPr>
          <w:rFonts w:eastAsia="Times New Roman" w:cs="Times New Roman"/>
          <w:sz w:val="32"/>
          <w:szCs w:val="32"/>
          <w:lang w:eastAsia="es-CO"/>
        </w:rPr>
      </w:pPr>
      <w:r w:rsidRPr="008333C8">
        <w:rPr>
          <w:rFonts w:eastAsia="Times New Roman" w:cs="Times New Roman"/>
          <w:sz w:val="32"/>
          <w:szCs w:val="32"/>
          <w:lang w:eastAsia="es-CO"/>
        </w:rPr>
        <w:t xml:space="preserve">Se colige de lo anterior, aplicado a la consulta general del peticionario, que una sociedad absorbente que venía declarando cuatrimestralmente sigue declarando cuatrimestralmente durante el año vigente, aún después de la fusión. </w:t>
      </w:r>
      <w:r w:rsidRPr="008333C8">
        <w:rPr>
          <w:rFonts w:eastAsia="Times New Roman" w:cs="Times New Roman"/>
          <w:sz w:val="32"/>
          <w:szCs w:val="32"/>
          <w:highlight w:val="yellow"/>
          <w:lang w:eastAsia="es-CO"/>
        </w:rPr>
        <w:t>Sin embargo, para el año siguiente, que en la hipótesis planteada sería el 2023, si la entidad resultante del proceso de fusión realiza efectivamente exportaciones o considera realizar exportaciones (u otras operaciones exentas del IVA en los términos de los artículos </w:t>
      </w:r>
      <w:hyperlink r:id="rId12" w:tooltip="Estatuto Tributario CETA" w:history="1">
        <w:r w:rsidRPr="008333C8">
          <w:rPr>
            <w:rFonts w:eastAsia="Times New Roman" w:cs="Times New Roman"/>
            <w:sz w:val="32"/>
            <w:szCs w:val="32"/>
            <w:highlight w:val="yellow"/>
            <w:u w:val="single"/>
            <w:lang w:eastAsia="es-CO"/>
          </w:rPr>
          <w:t>477</w:t>
        </w:r>
      </w:hyperlink>
      <w:r w:rsidRPr="008333C8">
        <w:rPr>
          <w:rFonts w:eastAsia="Times New Roman" w:cs="Times New Roman"/>
          <w:sz w:val="32"/>
          <w:szCs w:val="32"/>
          <w:highlight w:val="yellow"/>
          <w:lang w:eastAsia="es-CO"/>
        </w:rPr>
        <w:t> o </w:t>
      </w:r>
      <w:hyperlink r:id="rId13" w:tooltip="Estatuto Tributario CETA" w:history="1">
        <w:r w:rsidRPr="008333C8">
          <w:rPr>
            <w:rFonts w:eastAsia="Times New Roman" w:cs="Times New Roman"/>
            <w:sz w:val="32"/>
            <w:szCs w:val="32"/>
            <w:highlight w:val="yellow"/>
            <w:u w:val="single"/>
            <w:lang w:eastAsia="es-CO"/>
          </w:rPr>
          <w:t>481</w:t>
        </w:r>
      </w:hyperlink>
      <w:r w:rsidRPr="008333C8">
        <w:rPr>
          <w:rFonts w:eastAsia="Times New Roman" w:cs="Times New Roman"/>
          <w:sz w:val="32"/>
          <w:szCs w:val="32"/>
          <w:highlight w:val="yellow"/>
          <w:lang w:eastAsia="es-CO"/>
        </w:rPr>
        <w:t> del Estatuto Tributario), deberá efectuar el cambio de periodicidad a bimestral con la presentación de la primera declaración de 2023.</w:t>
      </w:r>
    </w:p>
    <w:p w14:paraId="0ED7CE1C"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p w14:paraId="080ABFC6"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Lo antepuesto, claro está, no es óbice para que no se sancione al administrado cuando no se ha inscrito en el RUT o no ha actualizado el mismo, tal y como lo prevé el </w:t>
      </w:r>
      <w:hyperlink r:id="rId14" w:tooltip="Estatuto Tributario CETA" w:history="1">
        <w:r w:rsidRPr="008333C8">
          <w:rPr>
            <w:rFonts w:eastAsia="Times New Roman" w:cs="Times New Roman"/>
            <w:szCs w:val="24"/>
            <w:u w:val="single"/>
            <w:lang w:eastAsia="es-CO"/>
          </w:rPr>
          <w:t>artículo 658-3</w:t>
        </w:r>
      </w:hyperlink>
      <w:r w:rsidRPr="008333C8">
        <w:rPr>
          <w:rFonts w:eastAsia="Times New Roman" w:cs="Times New Roman"/>
          <w:szCs w:val="24"/>
          <w:lang w:eastAsia="es-CO"/>
        </w:rPr>
        <w:t> del Estatuto Tributario.</w:t>
      </w:r>
    </w:p>
    <w:p w14:paraId="1F6BB9DE"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p w14:paraId="02C63033"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Finalmente, frente al procedimiento para realizar la presentación de la declaración del impuesto sobre la renta de la absorbida luego de la cancelación de su RUT producto del proceso de fusión, deberá tenerse en cuenta lo señalado en el Oficio DIAN No. 034464 de 2005, que ha sido reiterado en múltiples oportunidades por la doctrina de esta Entidad, en el cual se señaló respecto al cumplimiento de deberes formales en los procesos de fusión:</w:t>
      </w:r>
    </w:p>
    <w:p w14:paraId="678FBD66" w14:textId="00E1026A" w:rsidR="000D4FFF" w:rsidRPr="008333C8" w:rsidRDefault="000D4FFF" w:rsidP="00A351B3">
      <w:pPr>
        <w:spacing w:after="0" w:line="360" w:lineRule="auto"/>
        <w:jc w:val="both"/>
        <w:rPr>
          <w:rFonts w:eastAsia="Times New Roman" w:cs="Times New Roman"/>
          <w:szCs w:val="24"/>
          <w:lang w:eastAsia="es-CO"/>
        </w:rPr>
      </w:pPr>
    </w:p>
    <w:p w14:paraId="5326500F" w14:textId="7FDA2816" w:rsidR="000D4FFF" w:rsidRPr="008333C8" w:rsidRDefault="000D4FFF" w:rsidP="00A351B3">
      <w:pPr>
        <w:spacing w:after="0" w:line="360" w:lineRule="auto"/>
        <w:jc w:val="both"/>
        <w:rPr>
          <w:rFonts w:eastAsia="Times New Roman" w:cs="Times New Roman"/>
          <w:szCs w:val="24"/>
          <w:lang w:eastAsia="es-CO"/>
        </w:rPr>
      </w:pPr>
    </w:p>
    <w:p w14:paraId="131EDC00" w14:textId="3568646A" w:rsidR="000D4FFF" w:rsidRPr="008333C8" w:rsidRDefault="000D4FFF" w:rsidP="00A351B3">
      <w:pPr>
        <w:spacing w:after="0" w:line="360" w:lineRule="auto"/>
        <w:jc w:val="both"/>
        <w:rPr>
          <w:rFonts w:eastAsia="Times New Roman" w:cs="Times New Roman"/>
          <w:szCs w:val="24"/>
          <w:lang w:eastAsia="es-CO"/>
        </w:rPr>
      </w:pPr>
      <w:r w:rsidRPr="008333C8">
        <w:rPr>
          <w:rFonts w:cs="Times New Roman"/>
          <w:i/>
          <w:iCs/>
          <w:szCs w:val="24"/>
          <w:shd w:val="clear" w:color="auto" w:fill="FFFFFF"/>
        </w:rPr>
        <w:t>“De esta manera, la presentación de las declaraciones de renta, ventas y de retención en la fuente una vez efectuada la fusión y cuya obligación deba cumplirse con posterioridad al otorgamiento de la escritura pública mediante la que se formaliza este modo de reorganización societaria, </w:t>
      </w:r>
      <w:r w:rsidRPr="008333C8">
        <w:rPr>
          <w:rFonts w:cs="Times New Roman"/>
          <w:i/>
          <w:iCs/>
          <w:szCs w:val="24"/>
          <w:u w:val="single"/>
          <w:shd w:val="clear" w:color="auto" w:fill="FFFFFF"/>
        </w:rPr>
        <w:t>corresponderá a la sociedad absorbente, con su NIT</w:t>
      </w:r>
      <w:r w:rsidRPr="008333C8">
        <w:rPr>
          <w:rFonts w:cs="Times New Roman"/>
          <w:i/>
          <w:iCs/>
          <w:szCs w:val="24"/>
          <w:shd w:val="clear" w:color="auto" w:fill="FFFFFF"/>
        </w:rPr>
        <w:t> </w:t>
      </w:r>
      <w:r w:rsidRPr="008333C8">
        <w:rPr>
          <w:rFonts w:cs="Times New Roman"/>
          <w:i/>
          <w:iCs/>
          <w:szCs w:val="24"/>
          <w:u w:val="single"/>
          <w:shd w:val="clear" w:color="auto" w:fill="FFFFFF"/>
        </w:rPr>
        <w:t>y su razón social</w:t>
      </w:r>
      <w:r w:rsidRPr="008333C8">
        <w:rPr>
          <w:rFonts w:cs="Times New Roman"/>
          <w:i/>
          <w:iCs/>
          <w:szCs w:val="24"/>
          <w:shd w:val="clear" w:color="auto" w:fill="FFFFFF"/>
        </w:rPr>
        <w:t>. Una vez otorgada y registrada la escritura pública que formaliza el acuerdo de fusión, en la misma fecha, se debe solicitar la cancelación del NIT de la sociedad absorbida, tal como lo consagra el Concepto 031688 de abril 7 de 1999. </w:t>
      </w:r>
      <w:r w:rsidRPr="008333C8">
        <w:rPr>
          <w:rFonts w:cs="Times New Roman"/>
          <w:i/>
          <w:iCs/>
          <w:szCs w:val="24"/>
          <w:u w:val="single"/>
          <w:shd w:val="clear" w:color="auto" w:fill="FFFFFF"/>
        </w:rPr>
        <w:t>No</w:t>
      </w:r>
      <w:r w:rsidRPr="008333C8">
        <w:rPr>
          <w:rFonts w:cs="Times New Roman"/>
          <w:i/>
          <w:iCs/>
          <w:szCs w:val="24"/>
          <w:shd w:val="clear" w:color="auto" w:fill="FFFFFF"/>
        </w:rPr>
        <w:t> </w:t>
      </w:r>
      <w:r w:rsidRPr="008333C8">
        <w:rPr>
          <w:rFonts w:cs="Times New Roman"/>
          <w:i/>
          <w:iCs/>
          <w:szCs w:val="24"/>
          <w:u w:val="single"/>
          <w:shd w:val="clear" w:color="auto" w:fill="FFFFFF"/>
        </w:rPr>
        <w:t>obstante, es preciso tener en cuenta que la cancelación de la inscripción en el RUT de</w:t>
      </w:r>
      <w:r w:rsidRPr="008333C8">
        <w:rPr>
          <w:rFonts w:cs="Times New Roman"/>
          <w:i/>
          <w:iCs/>
          <w:szCs w:val="24"/>
          <w:shd w:val="clear" w:color="auto" w:fill="FFFFFF"/>
        </w:rPr>
        <w:t> </w:t>
      </w:r>
      <w:r w:rsidRPr="008333C8">
        <w:rPr>
          <w:rFonts w:cs="Times New Roman"/>
          <w:i/>
          <w:iCs/>
          <w:szCs w:val="24"/>
          <w:u w:val="single"/>
          <w:shd w:val="clear" w:color="auto" w:fill="FFFFFF"/>
        </w:rPr>
        <w:t>la absorbida no es inmediata, sino que está sujeta a verificaciones respecto del</w:t>
      </w:r>
      <w:r w:rsidRPr="008333C8">
        <w:rPr>
          <w:rFonts w:cs="Times New Roman"/>
          <w:i/>
          <w:iCs/>
          <w:szCs w:val="24"/>
          <w:shd w:val="clear" w:color="auto" w:fill="FFFFFF"/>
        </w:rPr>
        <w:t> </w:t>
      </w:r>
      <w:r w:rsidRPr="008333C8">
        <w:rPr>
          <w:rFonts w:cs="Times New Roman"/>
          <w:i/>
          <w:iCs/>
          <w:szCs w:val="24"/>
          <w:u w:val="single"/>
          <w:shd w:val="clear" w:color="auto" w:fill="FFFFFF"/>
        </w:rPr>
        <w:t>cumplimiento de sus obligaciones tributarias, aduaneras y cambiarías</w:t>
      </w:r>
      <w:r w:rsidRPr="008333C8">
        <w:rPr>
          <w:rFonts w:cs="Times New Roman"/>
          <w:i/>
          <w:iCs/>
          <w:szCs w:val="24"/>
          <w:shd w:val="clear" w:color="auto" w:fill="FFFFFF"/>
        </w:rPr>
        <w:t> conforme con lo previsto por el último inciso del artículo 11 del Decreto 2788 de 2004, razón por la cual, si bien es cierto que la absorbente desde el momento de la formalización de la fusión responde por las obligaciones tributarias de la absorbida, es un hecho que </w:t>
      </w:r>
      <w:r w:rsidRPr="008333C8">
        <w:rPr>
          <w:rFonts w:cs="Times New Roman"/>
          <w:i/>
          <w:iCs/>
          <w:szCs w:val="24"/>
          <w:u w:val="single"/>
          <w:shd w:val="clear" w:color="auto" w:fill="FFFFFF"/>
        </w:rPr>
        <w:t>en los</w:t>
      </w:r>
      <w:r w:rsidRPr="008333C8">
        <w:rPr>
          <w:rFonts w:cs="Times New Roman"/>
          <w:i/>
          <w:iCs/>
          <w:szCs w:val="24"/>
          <w:shd w:val="clear" w:color="auto" w:fill="FFFFFF"/>
        </w:rPr>
        <w:t> </w:t>
      </w:r>
      <w:r w:rsidRPr="008333C8">
        <w:rPr>
          <w:rFonts w:cs="Times New Roman"/>
          <w:i/>
          <w:iCs/>
          <w:szCs w:val="24"/>
          <w:u w:val="single"/>
          <w:shd w:val="clear" w:color="auto" w:fill="FFFFFF"/>
        </w:rPr>
        <w:t>períodos gravables anteriores a la legalización y perfeccionamiento del acuerdo, existían</w:t>
      </w:r>
      <w:r w:rsidRPr="008333C8">
        <w:rPr>
          <w:rFonts w:cs="Times New Roman"/>
          <w:i/>
          <w:iCs/>
          <w:szCs w:val="24"/>
          <w:shd w:val="clear" w:color="auto" w:fill="FFFFFF"/>
        </w:rPr>
        <w:t> </w:t>
      </w:r>
      <w:r w:rsidRPr="008333C8">
        <w:rPr>
          <w:rFonts w:cs="Times New Roman"/>
          <w:i/>
          <w:iCs/>
          <w:szCs w:val="24"/>
          <w:u w:val="single"/>
          <w:shd w:val="clear" w:color="auto" w:fill="FFFFFF"/>
        </w:rPr>
        <w:t>de manera independiente los entes societarios, razón por la cual la absorbente debe</w:t>
      </w:r>
      <w:r w:rsidRPr="008333C8">
        <w:rPr>
          <w:rFonts w:cs="Times New Roman"/>
          <w:i/>
          <w:iCs/>
          <w:szCs w:val="24"/>
          <w:shd w:val="clear" w:color="auto" w:fill="FFFFFF"/>
        </w:rPr>
        <w:t> </w:t>
      </w:r>
      <w:r w:rsidRPr="008333C8">
        <w:rPr>
          <w:rFonts w:cs="Times New Roman"/>
          <w:i/>
          <w:iCs/>
          <w:szCs w:val="24"/>
          <w:u w:val="single"/>
          <w:shd w:val="clear" w:color="auto" w:fill="FFFFFF"/>
        </w:rPr>
        <w:t>declarar dichos períodos indicando el nombre y razón social y NIT de la absorbida</w:t>
      </w:r>
      <w:r w:rsidRPr="008333C8">
        <w:rPr>
          <w:rFonts w:cs="Times New Roman"/>
          <w:i/>
          <w:iCs/>
          <w:szCs w:val="24"/>
          <w:shd w:val="clear" w:color="auto" w:fill="FFFFFF"/>
        </w:rPr>
        <w:t>. Esto teniendo en cuenta que, si bien jurídicamente se consolidan, en la práctica la cuenta corriente así como las obligaciones de la absorbida por los períodos fiscales anteriores a la fusión tienen origen en personas jurídicas diferentes, identificadas cada una tributariamente, así la absorbente a partir de la formalización de la fusión deba cumplir las obligaciones formales y sustanciales de la primera por los períodos fiscales en que aquella tuvo vida jurídica”. </w:t>
      </w:r>
      <w:r w:rsidRPr="008333C8">
        <w:rPr>
          <w:rFonts w:cs="Times New Roman"/>
          <w:szCs w:val="24"/>
          <w:shd w:val="clear" w:color="auto" w:fill="FFFFFF"/>
        </w:rPr>
        <w:t>(Subrayado fuera de texto)</w:t>
      </w:r>
    </w:p>
    <w:p w14:paraId="3FE3C947" w14:textId="77777777" w:rsidR="000D4FFF" w:rsidRPr="008333C8" w:rsidRDefault="000D4FFF" w:rsidP="00A351B3">
      <w:pPr>
        <w:spacing w:after="0" w:line="360" w:lineRule="auto"/>
        <w:jc w:val="both"/>
        <w:rPr>
          <w:rFonts w:eastAsia="Times New Roman" w:cs="Times New Roman"/>
          <w:szCs w:val="24"/>
          <w:lang w:eastAsia="es-CO"/>
        </w:rPr>
      </w:pPr>
    </w:p>
    <w:p w14:paraId="3C95E5B8" w14:textId="77777777" w:rsidR="000D4FFF" w:rsidRPr="008333C8" w:rsidRDefault="000D4FFF" w:rsidP="00A351B3">
      <w:pPr>
        <w:spacing w:after="0" w:line="360" w:lineRule="auto"/>
        <w:jc w:val="both"/>
        <w:rPr>
          <w:rFonts w:eastAsia="Times New Roman" w:cs="Times New Roman"/>
          <w:szCs w:val="24"/>
          <w:lang w:eastAsia="es-CO"/>
        </w:rPr>
      </w:pPr>
    </w:p>
    <w:p w14:paraId="5B2626B3" w14:textId="25A33855"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Atentamente,</w:t>
      </w:r>
    </w:p>
    <w:p w14:paraId="61A793BE"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p w14:paraId="74DBBD62"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 </w:t>
      </w:r>
    </w:p>
    <w:p w14:paraId="2CFD3EE1"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b/>
          <w:bCs/>
          <w:szCs w:val="24"/>
          <w:lang w:eastAsia="es-CO"/>
        </w:rPr>
        <w:t>NICOLÁS BERNAL ABELLA</w:t>
      </w:r>
    </w:p>
    <w:p w14:paraId="0A621555"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Subdirector de Normativa y Doctrina (E)</w:t>
      </w:r>
    </w:p>
    <w:p w14:paraId="6FD91E51" w14:textId="77777777"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Dirección de Gestión Jurídica</w:t>
      </w:r>
    </w:p>
    <w:p w14:paraId="776CEB5B" w14:textId="01B4DE8A" w:rsidR="000D4FFF"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UAE-Dirección de Impuestos y Aduanas Nacionales</w:t>
      </w:r>
    </w:p>
    <w:p w14:paraId="477A498D" w14:textId="6A1DAE37" w:rsidR="007F5CC8" w:rsidRPr="008333C8" w:rsidRDefault="000D4FFF" w:rsidP="00A351B3">
      <w:pPr>
        <w:spacing w:after="0" w:line="360" w:lineRule="auto"/>
        <w:jc w:val="both"/>
        <w:rPr>
          <w:rFonts w:eastAsia="Times New Roman" w:cs="Times New Roman"/>
          <w:szCs w:val="24"/>
          <w:lang w:eastAsia="es-CO"/>
        </w:rPr>
      </w:pPr>
      <w:r w:rsidRPr="008333C8">
        <w:rPr>
          <w:rFonts w:eastAsia="Times New Roman" w:cs="Times New Roman"/>
          <w:szCs w:val="24"/>
          <w:lang w:eastAsia="es-CO"/>
        </w:rPr>
        <w:t>_____________________________________________________________________________</w:t>
      </w:r>
    </w:p>
    <w:sectPr w:rsidR="007F5CC8" w:rsidRPr="008333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FF"/>
    <w:rsid w:val="000D4FFF"/>
    <w:rsid w:val="000F3837"/>
    <w:rsid w:val="001E311E"/>
    <w:rsid w:val="00434AE6"/>
    <w:rsid w:val="007F5CC8"/>
    <w:rsid w:val="008333C8"/>
    <w:rsid w:val="008779BE"/>
    <w:rsid w:val="00A351B3"/>
    <w:rsid w:val="00C0583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740E"/>
  <w15:chartTrackingRefBased/>
  <w15:docId w15:val="{999E641B-65A6-4CFE-B565-A9E5F55C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18629">
      <w:bodyDiv w:val="1"/>
      <w:marLeft w:val="0"/>
      <w:marRight w:val="0"/>
      <w:marTop w:val="0"/>
      <w:marBottom w:val="0"/>
      <w:divBdr>
        <w:top w:val="none" w:sz="0" w:space="0" w:color="auto"/>
        <w:left w:val="none" w:sz="0" w:space="0" w:color="auto"/>
        <w:bottom w:val="none" w:sz="0" w:space="0" w:color="auto"/>
        <w:right w:val="none" w:sz="0" w:space="0" w:color="auto"/>
      </w:divBdr>
    </w:div>
    <w:div w:id="1337726938">
      <w:bodyDiv w:val="1"/>
      <w:marLeft w:val="0"/>
      <w:marRight w:val="0"/>
      <w:marTop w:val="0"/>
      <w:marBottom w:val="0"/>
      <w:divBdr>
        <w:top w:val="none" w:sz="0" w:space="0" w:color="auto"/>
        <w:left w:val="none" w:sz="0" w:space="0" w:color="auto"/>
        <w:bottom w:val="none" w:sz="0" w:space="0" w:color="auto"/>
        <w:right w:val="none" w:sz="0" w:space="0" w:color="auto"/>
      </w:divBdr>
    </w:div>
    <w:div w:id="1550342444">
      <w:bodyDiv w:val="1"/>
      <w:marLeft w:val="0"/>
      <w:marRight w:val="0"/>
      <w:marTop w:val="0"/>
      <w:marBottom w:val="0"/>
      <w:divBdr>
        <w:top w:val="none" w:sz="0" w:space="0" w:color="auto"/>
        <w:left w:val="none" w:sz="0" w:space="0" w:color="auto"/>
        <w:bottom w:val="none" w:sz="0" w:space="0" w:color="auto"/>
        <w:right w:val="none" w:sz="0" w:space="0" w:color="auto"/>
      </w:divBdr>
    </w:div>
    <w:div w:id="191427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01" TargetMode="External"/><Relationship Id="rId13" Type="http://schemas.openxmlformats.org/officeDocument/2006/relationships/hyperlink" Target="https://www.ceta.org.co/html/vista_de_un_articulo.asp?Norma=601"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40" TargetMode="External"/><Relationship Id="rId12" Type="http://schemas.openxmlformats.org/officeDocument/2006/relationships/hyperlink" Target="https://www.ceta.org.co/html/vista_de_un_articulo.asp?Norma=59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601" TargetMode="External"/><Relationship Id="rId11" Type="http://schemas.openxmlformats.org/officeDocument/2006/relationships/hyperlink" Target="https://www.ceta.org.co/html/vista_de_un_articulo.asp?Norma=601" TargetMode="External"/><Relationship Id="rId5" Type="http://schemas.openxmlformats.org/officeDocument/2006/relationships/hyperlink" Target="https://www.ceta.org.co/html/vista_de_un_articulo.asp?Norma=740"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597" TargetMode="External"/><Relationship Id="rId4" Type="http://schemas.openxmlformats.org/officeDocument/2006/relationships/hyperlink" Target="https://www.ceta.org.co/html/vista_de_un_articulo.asp?Norma=740" TargetMode="External"/><Relationship Id="rId9" Type="http://schemas.openxmlformats.org/officeDocument/2006/relationships/hyperlink" Target="https://www.ceta.org.co/html/vista_de_un_articulo.asp?Norma=740" TargetMode="External"/><Relationship Id="rId14" Type="http://schemas.openxmlformats.org/officeDocument/2006/relationships/hyperlink" Target="https://www.ceta.org.co/html/vista_de_un_articulo.asp?Norma=160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1516</Words>
  <Characters>8340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Diana Alexandra Orozco López</cp:lastModifiedBy>
  <cp:revision>3</cp:revision>
  <cp:lastPrinted>2022-09-30T19:04:00Z</cp:lastPrinted>
  <dcterms:created xsi:type="dcterms:W3CDTF">2022-09-29T19:36:00Z</dcterms:created>
  <dcterms:modified xsi:type="dcterms:W3CDTF">2022-09-30T19:04:00Z</dcterms:modified>
</cp:coreProperties>
</file>