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0822" w14:textId="77777777" w:rsidR="00FD3EA0" w:rsidRPr="00FD3EA0" w:rsidRDefault="00FD3EA0" w:rsidP="00FD3EA0">
      <w:pPr>
        <w:pStyle w:val="NormalWeb"/>
        <w:spacing w:before="0" w:beforeAutospacing="0" w:after="0" w:afterAutospacing="0" w:line="360" w:lineRule="auto"/>
        <w:jc w:val="both"/>
        <w:rPr>
          <w:color w:val="000000"/>
        </w:rPr>
      </w:pPr>
    </w:p>
    <w:p w14:paraId="41A5003B" w14:textId="77777777" w:rsidR="00FD3EA0" w:rsidRPr="00FD3EA0" w:rsidRDefault="00FD3EA0" w:rsidP="00FD3EA0">
      <w:pPr>
        <w:pStyle w:val="NormalWeb"/>
        <w:spacing w:before="0" w:beforeAutospacing="0" w:after="0" w:afterAutospacing="0" w:line="360" w:lineRule="auto"/>
        <w:jc w:val="both"/>
        <w:rPr>
          <w:color w:val="000000"/>
          <w:shd w:val="clear" w:color="auto" w:fill="FFFFFF"/>
        </w:rPr>
      </w:pPr>
    </w:p>
    <w:p w14:paraId="0389D61A" w14:textId="77777777" w:rsidR="00FD3EA0" w:rsidRPr="00FD3EA0" w:rsidRDefault="00FD3EA0" w:rsidP="00FD3EA0">
      <w:pPr>
        <w:pStyle w:val="NormalWeb"/>
        <w:spacing w:before="0" w:beforeAutospacing="0" w:after="0" w:afterAutospacing="0" w:line="360" w:lineRule="auto"/>
        <w:jc w:val="both"/>
        <w:rPr>
          <w:color w:val="000000"/>
          <w:shd w:val="clear" w:color="auto" w:fill="FFFFFF"/>
        </w:rPr>
      </w:pPr>
    </w:p>
    <w:p w14:paraId="13895EDD" w14:textId="77777777" w:rsidR="00FD3EA0" w:rsidRPr="00206D9D" w:rsidRDefault="00FD3EA0" w:rsidP="00FD3EA0">
      <w:pPr>
        <w:spacing w:after="0" w:line="360" w:lineRule="auto"/>
        <w:jc w:val="center"/>
        <w:rPr>
          <w:rFonts w:eastAsia="Times New Roman" w:cs="Times New Roman"/>
          <w:color w:val="000000"/>
          <w:szCs w:val="24"/>
          <w:highlight w:val="yellow"/>
          <w:lang w:eastAsia="es-CO"/>
        </w:rPr>
      </w:pPr>
      <w:r w:rsidRPr="00206D9D">
        <w:rPr>
          <w:rFonts w:eastAsia="Times New Roman" w:cs="Times New Roman"/>
          <w:b/>
          <w:bCs/>
          <w:color w:val="000000"/>
          <w:szCs w:val="24"/>
          <w:highlight w:val="yellow"/>
          <w:lang w:eastAsia="es-CO"/>
        </w:rPr>
        <w:t xml:space="preserve">OFICIO </w:t>
      </w:r>
      <w:proofErr w:type="spellStart"/>
      <w:r w:rsidRPr="00206D9D">
        <w:rPr>
          <w:rFonts w:eastAsia="Times New Roman" w:cs="Times New Roman"/>
          <w:b/>
          <w:bCs/>
          <w:color w:val="000000"/>
          <w:szCs w:val="24"/>
          <w:highlight w:val="yellow"/>
          <w:lang w:eastAsia="es-CO"/>
        </w:rPr>
        <w:t>Nº</w:t>
      </w:r>
      <w:proofErr w:type="spellEnd"/>
      <w:r w:rsidRPr="00206D9D">
        <w:rPr>
          <w:rFonts w:eastAsia="Times New Roman" w:cs="Times New Roman"/>
          <w:b/>
          <w:bCs/>
          <w:color w:val="000000"/>
          <w:szCs w:val="24"/>
          <w:highlight w:val="yellow"/>
          <w:lang w:eastAsia="es-CO"/>
        </w:rPr>
        <w:t xml:space="preserve"> 1193 [912843]</w:t>
      </w:r>
    </w:p>
    <w:p w14:paraId="1808F092" w14:textId="77777777" w:rsidR="00FD3EA0" w:rsidRPr="00206D9D" w:rsidRDefault="00FD3EA0" w:rsidP="00FD3EA0">
      <w:pPr>
        <w:spacing w:after="0" w:line="360" w:lineRule="auto"/>
        <w:jc w:val="center"/>
        <w:rPr>
          <w:rFonts w:eastAsia="Times New Roman" w:cs="Times New Roman"/>
          <w:color w:val="000000"/>
          <w:szCs w:val="24"/>
          <w:highlight w:val="yellow"/>
          <w:lang w:eastAsia="es-CO"/>
        </w:rPr>
      </w:pPr>
      <w:r w:rsidRPr="00206D9D">
        <w:rPr>
          <w:rFonts w:eastAsia="Times New Roman" w:cs="Times New Roman"/>
          <w:b/>
          <w:bCs/>
          <w:color w:val="000000"/>
          <w:szCs w:val="24"/>
          <w:highlight w:val="yellow"/>
          <w:lang w:eastAsia="es-CO"/>
        </w:rPr>
        <w:t>15-09-2022</w:t>
      </w:r>
    </w:p>
    <w:p w14:paraId="2A01D1EE" w14:textId="77777777" w:rsidR="00FD3EA0" w:rsidRPr="00FD3EA0" w:rsidRDefault="00FD3EA0" w:rsidP="00FD3EA0">
      <w:pPr>
        <w:spacing w:after="0" w:line="360" w:lineRule="auto"/>
        <w:jc w:val="center"/>
        <w:rPr>
          <w:rFonts w:eastAsia="Times New Roman" w:cs="Times New Roman"/>
          <w:color w:val="000000"/>
          <w:szCs w:val="24"/>
          <w:lang w:eastAsia="es-CO"/>
        </w:rPr>
      </w:pPr>
      <w:r w:rsidRPr="00206D9D">
        <w:rPr>
          <w:rFonts w:eastAsia="Times New Roman" w:cs="Times New Roman"/>
          <w:b/>
          <w:bCs/>
          <w:color w:val="000000"/>
          <w:szCs w:val="24"/>
          <w:highlight w:val="yellow"/>
          <w:lang w:eastAsia="es-CO"/>
        </w:rPr>
        <w:t>DIAN</w:t>
      </w:r>
    </w:p>
    <w:p w14:paraId="22DF567A"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6D0556F1"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00E5467A"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Subdirección de Normativa y Doctrina</w:t>
      </w:r>
    </w:p>
    <w:p w14:paraId="76CD7196"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100208192-1193</w:t>
      </w:r>
    </w:p>
    <w:p w14:paraId="428B7B55"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Bogotá, D.C.</w:t>
      </w:r>
    </w:p>
    <w:p w14:paraId="7C074A36"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3EB6EDC2" w14:textId="77777777" w:rsidR="00FD3EA0" w:rsidRPr="00206D9D" w:rsidRDefault="00FD3EA0" w:rsidP="00FD3EA0">
      <w:pPr>
        <w:spacing w:after="0" w:line="360" w:lineRule="auto"/>
        <w:jc w:val="both"/>
        <w:rPr>
          <w:rFonts w:eastAsia="Times New Roman" w:cs="Times New Roman"/>
          <w:color w:val="000000"/>
          <w:sz w:val="32"/>
          <w:szCs w:val="32"/>
          <w:lang w:eastAsia="es-CO"/>
        </w:rPr>
      </w:pPr>
      <w:r w:rsidRPr="00206D9D">
        <w:rPr>
          <w:rFonts w:eastAsia="Times New Roman" w:cs="Times New Roman"/>
          <w:color w:val="000000"/>
          <w:sz w:val="32"/>
          <w:szCs w:val="32"/>
          <w:highlight w:val="yellow"/>
          <w:lang w:eastAsia="es-CO"/>
        </w:rPr>
        <w:t>Ref.: </w:t>
      </w:r>
      <w:r w:rsidRPr="00206D9D">
        <w:rPr>
          <w:rFonts w:eastAsia="Times New Roman" w:cs="Times New Roman"/>
          <w:i/>
          <w:iCs/>
          <w:color w:val="000000"/>
          <w:sz w:val="32"/>
          <w:szCs w:val="32"/>
          <w:highlight w:val="yellow"/>
          <w:lang w:eastAsia="es-CO"/>
        </w:rPr>
        <w:t>Adición Concepto Unificado No. 0106 del 19 de agosto de 2022 - Obligación de Facturar y Sistema de Factura Electrónica</w:t>
      </w:r>
    </w:p>
    <w:p w14:paraId="0ACBF3F0"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D59E41A"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De conformidad con el artículo 56 del Decreto 1742 de 2020, en concordancia con el artículo 7° de la Resolución No. 000091 de 2021, se expide el concepto por el cual se efectúa una adición al Concepto Unificado No. 0106 de 2022 - Obligación de Facturar y Sistema de Factura Electrónica, en los siguientes aspectos:</w:t>
      </w:r>
    </w:p>
    <w:p w14:paraId="0C908FD7"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20EAEF25"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Adicionar al descriptor 5.1.1. “</w:t>
      </w:r>
      <w:r w:rsidRPr="00FD3EA0">
        <w:rPr>
          <w:rFonts w:eastAsia="Times New Roman" w:cs="Times New Roman"/>
          <w:i/>
          <w:iCs/>
          <w:color w:val="000000"/>
          <w:szCs w:val="24"/>
          <w:lang w:eastAsia="es-CO"/>
        </w:rPr>
        <w:t>Naturaleza y definición del registro de la factura electrónica de venta como título valor -RADIAN</w:t>
      </w:r>
      <w:r w:rsidRPr="00FD3EA0">
        <w:rPr>
          <w:rFonts w:eastAsia="Times New Roman" w:cs="Times New Roman"/>
          <w:color w:val="000000"/>
          <w:szCs w:val="24"/>
          <w:lang w:eastAsia="es-CO"/>
        </w:rPr>
        <w:t>” los sub numerales 5.1.1.17. y 5.1.1.18. para determinar la procedencia del evento referido a las cesiones de derechos económicos contenidos en facturas electrónicas consideradas título valor.</w:t>
      </w:r>
    </w:p>
    <w:p w14:paraId="6FE50F38"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185BAB3"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Adicionalmente, adicionar al descriptor 5.1.5. “</w:t>
      </w:r>
      <w:r w:rsidRPr="00FD3EA0">
        <w:rPr>
          <w:rFonts w:eastAsia="Times New Roman" w:cs="Times New Roman"/>
          <w:i/>
          <w:iCs/>
          <w:color w:val="000000"/>
          <w:szCs w:val="24"/>
          <w:lang w:eastAsia="es-CO"/>
        </w:rPr>
        <w:t>Obligatoriedad de confirmar el recibido de la factura electrónica de venta y de los bienes o servicios adquiridos mediante mensaje electrónico al facturador</w:t>
      </w:r>
      <w:r w:rsidRPr="00FD3EA0">
        <w:rPr>
          <w:rFonts w:eastAsia="Times New Roman" w:cs="Times New Roman"/>
          <w:color w:val="000000"/>
          <w:szCs w:val="24"/>
          <w:lang w:eastAsia="es-CO"/>
        </w:rPr>
        <w:t>” los siguientes sub numerales: 5.1.5.1. para aclarar lo que se debe entender por facturas expedidas en operaciones “a crédito” o “con un plazo para el pago”, de acuerdo con lo dispuesto en el </w:t>
      </w:r>
      <w:hyperlink r:id="rId5" w:tooltip="Estatuto Tributario CETA" w:history="1">
        <w:r w:rsidRPr="00FD3EA0">
          <w:rPr>
            <w:rFonts w:eastAsia="Times New Roman" w:cs="Times New Roman"/>
            <w:color w:val="0645AD"/>
            <w:szCs w:val="24"/>
            <w:u w:val="single"/>
            <w:lang w:eastAsia="es-CO"/>
          </w:rPr>
          <w:t>artículo 616-1</w:t>
        </w:r>
      </w:hyperlink>
      <w:r w:rsidRPr="00FD3EA0">
        <w:rPr>
          <w:rFonts w:eastAsia="Times New Roman" w:cs="Times New Roman"/>
          <w:color w:val="000000"/>
          <w:szCs w:val="24"/>
          <w:lang w:eastAsia="es-CO"/>
        </w:rPr>
        <w:t> del Estatuto Tributario; y el 5.1.5.2. para interpretar cómo se debe cumplir con la remisión del mensaje electrónico de confirmación de recibido de la factura electrónica de venta y el mensaje electrónico del recibido de los bienes y/o servicios adquiridos, cuando la adquisición de bienes o prestación de servicios se realiza a través de patrimonios autónomos.</w:t>
      </w:r>
    </w:p>
    <w:p w14:paraId="42583979"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DA1A5A2"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Atentamente,</w:t>
      </w:r>
    </w:p>
    <w:p w14:paraId="4D5C070D"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5E875756"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092E6160"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b/>
          <w:bCs/>
          <w:color w:val="000000"/>
          <w:szCs w:val="24"/>
          <w:lang w:eastAsia="es-CO"/>
        </w:rPr>
        <w:t>NICOLÁS BERNAL ABELLA</w:t>
      </w:r>
    </w:p>
    <w:p w14:paraId="535A5F43"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lastRenderedPageBreak/>
        <w:t>Subdirector de Normativa y Doctrina (E)</w:t>
      </w:r>
    </w:p>
    <w:p w14:paraId="4D0580CE"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Dirección de Gestión Jurídica</w:t>
      </w:r>
    </w:p>
    <w:p w14:paraId="672B3527"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UAE- Dirección de Impuestos y Aduanas Nacionales</w:t>
      </w:r>
    </w:p>
    <w:p w14:paraId="7FA2FC98"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2AC154D9"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55E0C599" w14:textId="77777777" w:rsidR="00FD3EA0" w:rsidRPr="00FD3EA0" w:rsidRDefault="00FD3EA0" w:rsidP="00FD3EA0">
      <w:pPr>
        <w:spacing w:after="0" w:line="360" w:lineRule="auto"/>
        <w:jc w:val="center"/>
        <w:rPr>
          <w:rFonts w:eastAsia="Times New Roman" w:cs="Times New Roman"/>
          <w:color w:val="000000"/>
          <w:szCs w:val="24"/>
          <w:lang w:eastAsia="es-CO"/>
        </w:rPr>
      </w:pPr>
      <w:r w:rsidRPr="00206D9D">
        <w:rPr>
          <w:rFonts w:eastAsia="Times New Roman" w:cs="Times New Roman"/>
          <w:b/>
          <w:bCs/>
          <w:color w:val="000000"/>
          <w:szCs w:val="24"/>
          <w:highlight w:val="yellow"/>
          <w:lang w:eastAsia="es-CO"/>
        </w:rPr>
        <w:t>ADICIÓN AL CONCEPTO UNIFICADO No. 0106 DEL 19 DE AGOSTO DE 2022 OBLIGACIÓN DE FACTURAR Y SISTEMA DE FACTURA ELECTRÓNICA</w:t>
      </w:r>
    </w:p>
    <w:p w14:paraId="2B096456"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225B0458"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De conformidad con el artículo 56 del Decreto 1742 de 2020, en concordancia con el artículo 7° de la Resolución No. 000091 de 2021, este Despacho avoca conocimiento para realizar la siguiente adición al Concepto Unificado No. 0106 de 2022 - Obligación de Facturar y Sistema de Factura Electrónica.</w:t>
      </w:r>
    </w:p>
    <w:p w14:paraId="18C27A4A"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77DA25F2"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Esta adición surge en razón a la necesidad de determinar la procedencia del evento referido a las cesiones de derechos efectuadas sobre facturas electrónicas consideradas como título valor en el RADIAN, así como el alcance de las expresiones </w:t>
      </w:r>
      <w:r w:rsidRPr="00FD3EA0">
        <w:rPr>
          <w:rFonts w:eastAsia="Times New Roman" w:cs="Times New Roman"/>
          <w:i/>
          <w:iCs/>
          <w:color w:val="000000"/>
          <w:szCs w:val="24"/>
          <w:lang w:eastAsia="es-CO"/>
        </w:rPr>
        <w:t>“a crédito”</w:t>
      </w:r>
      <w:r w:rsidRPr="00FD3EA0">
        <w:rPr>
          <w:rFonts w:eastAsia="Times New Roman" w:cs="Times New Roman"/>
          <w:color w:val="000000"/>
          <w:szCs w:val="24"/>
          <w:lang w:eastAsia="es-CO"/>
        </w:rPr>
        <w:t> o con un </w:t>
      </w:r>
      <w:r w:rsidRPr="00FD3EA0">
        <w:rPr>
          <w:rFonts w:eastAsia="Times New Roman" w:cs="Times New Roman"/>
          <w:i/>
          <w:iCs/>
          <w:color w:val="000000"/>
          <w:szCs w:val="24"/>
          <w:lang w:eastAsia="es-CO"/>
        </w:rPr>
        <w:t>“plazo para el pago”</w:t>
      </w:r>
      <w:r w:rsidRPr="00FD3EA0">
        <w:rPr>
          <w:rFonts w:eastAsia="Times New Roman" w:cs="Times New Roman"/>
          <w:color w:val="000000"/>
          <w:szCs w:val="24"/>
          <w:lang w:eastAsia="es-CO"/>
        </w:rPr>
        <w:t> que se disponen en el </w:t>
      </w:r>
      <w:hyperlink r:id="rId6" w:tooltip="Estatuto Tributario CETA" w:history="1">
        <w:r w:rsidRPr="00FD3EA0">
          <w:rPr>
            <w:rFonts w:eastAsia="Times New Roman" w:cs="Times New Roman"/>
            <w:color w:val="0645AD"/>
            <w:szCs w:val="24"/>
            <w:u w:val="single"/>
            <w:lang w:eastAsia="es-CO"/>
          </w:rPr>
          <w:t>artículo 616-1</w:t>
        </w:r>
      </w:hyperlink>
      <w:r w:rsidRPr="00FD3EA0">
        <w:rPr>
          <w:rFonts w:eastAsia="Times New Roman" w:cs="Times New Roman"/>
          <w:color w:val="000000"/>
          <w:szCs w:val="24"/>
          <w:lang w:eastAsia="es-CO"/>
        </w:rPr>
        <w:t> del Estatuto Tributario. De la misma forma, resulta necesario interpretar cómo se debe cumplir con la remisión del mensaje electrónico de confirmación de recibido de la factura electrónica de venta y el mensaje electrónico del recibido de los bienes y/o servicios adquiridos cuando la venta de bienes y/o prestación de servicios se realiza a través de patrimonios autónomos.</w:t>
      </w:r>
    </w:p>
    <w:p w14:paraId="06EEB68B"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0EDDAF44" w14:textId="77777777" w:rsidR="00FD3EA0" w:rsidRPr="00FD3EA0" w:rsidRDefault="00FD3EA0" w:rsidP="00FD3EA0">
      <w:pPr>
        <w:numPr>
          <w:ilvl w:val="0"/>
          <w:numId w:val="3"/>
        </w:numPr>
        <w:spacing w:before="100" w:beforeAutospacing="1" w:after="100" w:afterAutospacing="1" w:line="360" w:lineRule="auto"/>
        <w:ind w:left="360" w:firstLine="0"/>
        <w:jc w:val="both"/>
        <w:rPr>
          <w:rFonts w:eastAsia="Times New Roman" w:cs="Times New Roman"/>
          <w:color w:val="000000"/>
          <w:szCs w:val="24"/>
          <w:lang w:eastAsia="es-CO"/>
        </w:rPr>
      </w:pPr>
      <w:r w:rsidRPr="00FD3EA0">
        <w:rPr>
          <w:rFonts w:eastAsia="Times New Roman" w:cs="Times New Roman"/>
          <w:color w:val="000000"/>
          <w:szCs w:val="24"/>
          <w:lang w:eastAsia="es-CO"/>
        </w:rPr>
        <w:t>En primer lugar, se requiere adicionar al descriptor 5.1.1. referido a la “</w:t>
      </w:r>
      <w:r w:rsidRPr="00FD3EA0">
        <w:rPr>
          <w:rFonts w:eastAsia="Times New Roman" w:cs="Times New Roman"/>
          <w:b/>
          <w:bCs/>
          <w:i/>
          <w:iCs/>
          <w:color w:val="000000"/>
          <w:szCs w:val="24"/>
          <w:lang w:eastAsia="es-CO"/>
        </w:rPr>
        <w:t>Naturaleza y definición del registro de la factura electrónica de venta como título valor -RADIAN</w:t>
      </w:r>
      <w:r w:rsidRPr="00FD3EA0">
        <w:rPr>
          <w:rFonts w:eastAsia="Times New Roman" w:cs="Times New Roman"/>
          <w:color w:val="000000"/>
          <w:szCs w:val="24"/>
          <w:lang w:eastAsia="es-CO"/>
        </w:rPr>
        <w:t>” los siguientes sub numerales y categorías, así:</w:t>
      </w:r>
    </w:p>
    <w:p w14:paraId="69998317"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146FCD2"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5.1.1.17. ¿Se deben registrar las cesiones de derechos efectuadas sobre las facturas electrónicas consideradas título valor?</w:t>
      </w:r>
    </w:p>
    <w:p w14:paraId="5B5DDA9B"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3A984FBD"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El inciso segundo del parágrafo tercero del </w:t>
      </w:r>
      <w:hyperlink r:id="rId7" w:tooltip="Estatuto Tributario CETA" w:history="1">
        <w:r w:rsidRPr="00FD3EA0">
          <w:rPr>
            <w:rFonts w:eastAsia="Times New Roman" w:cs="Times New Roman"/>
            <w:color w:val="0645AD"/>
            <w:szCs w:val="24"/>
            <w:u w:val="single"/>
            <w:lang w:eastAsia="es-CO"/>
          </w:rPr>
          <w:t>artículo 616-1</w:t>
        </w:r>
      </w:hyperlink>
      <w:r w:rsidRPr="00FD3EA0">
        <w:rPr>
          <w:rFonts w:eastAsia="Times New Roman" w:cs="Times New Roman"/>
          <w:color w:val="000000"/>
          <w:szCs w:val="24"/>
          <w:lang w:eastAsia="es-CO"/>
        </w:rPr>
        <w:t> del Estatuto Tributario determina:</w:t>
      </w:r>
    </w:p>
    <w:p w14:paraId="0037E0ED"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7ABCA0B6"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“Para efectos de que se materialice </w:t>
      </w:r>
      <w:r w:rsidRPr="00FD3EA0">
        <w:rPr>
          <w:rFonts w:eastAsia="Times New Roman" w:cs="Times New Roman"/>
          <w:b/>
          <w:bCs/>
          <w:i/>
          <w:iCs/>
          <w:color w:val="000000"/>
          <w:szCs w:val="24"/>
          <w:lang w:eastAsia="es-CO"/>
        </w:rPr>
        <w:t>la </w:t>
      </w:r>
      <w:r w:rsidRPr="00FD3EA0">
        <w:rPr>
          <w:rFonts w:eastAsia="Times New Roman" w:cs="Times New Roman"/>
          <w:b/>
          <w:bCs/>
          <w:i/>
          <w:iCs/>
          <w:color w:val="000000"/>
          <w:szCs w:val="24"/>
          <w:u w:val="single"/>
          <w:lang w:eastAsia="es-CO"/>
        </w:rPr>
        <w:t>transferencia de derechos económicos contenidos en una factura electrónica que sea un título valor</w:t>
      </w:r>
      <w:r w:rsidRPr="00FD3EA0">
        <w:rPr>
          <w:rFonts w:eastAsia="Times New Roman" w:cs="Times New Roman"/>
          <w:i/>
          <w:iCs/>
          <w:color w:val="000000"/>
          <w:szCs w:val="24"/>
          <w:u w:val="single"/>
          <w:lang w:eastAsia="es-CO"/>
        </w:rPr>
        <w:t>,</w:t>
      </w:r>
      <w:r w:rsidRPr="00FD3EA0">
        <w:rPr>
          <w:rFonts w:eastAsia="Times New Roman" w:cs="Times New Roman"/>
          <w:i/>
          <w:iCs/>
          <w:color w:val="000000"/>
          <w:szCs w:val="24"/>
          <w:lang w:eastAsia="es-CO"/>
        </w:rPr>
        <w:t> el enajenante, cedente o endosatario </w:t>
      </w:r>
      <w:r w:rsidRPr="00FD3EA0">
        <w:rPr>
          <w:rFonts w:eastAsia="Times New Roman" w:cs="Times New Roman"/>
          <w:b/>
          <w:bCs/>
          <w:i/>
          <w:iCs/>
          <w:color w:val="000000"/>
          <w:szCs w:val="24"/>
          <w:u w:val="single"/>
          <w:lang w:eastAsia="es-CO"/>
        </w:rPr>
        <w:t>deberá inscribir </w:t>
      </w:r>
      <w:r w:rsidRPr="00FD3EA0">
        <w:rPr>
          <w:rFonts w:eastAsia="Times New Roman" w:cs="Times New Roman"/>
          <w:i/>
          <w:iCs/>
          <w:color w:val="000000"/>
          <w:szCs w:val="24"/>
          <w:u w:val="single"/>
          <w:lang w:eastAsia="es-CO"/>
        </w:rPr>
        <w:t>en el Registro de las Facturas Electrónicas de Venta administrado por la Unidad Administrativa Especial Dirección de Impuestos y Aduanas Nacionales (DIAN), - RADIAN la transacción realizada</w:t>
      </w:r>
      <w:r w:rsidRPr="00FD3EA0">
        <w:rPr>
          <w:rFonts w:eastAsia="Times New Roman" w:cs="Times New Roman"/>
          <w:i/>
          <w:iCs/>
          <w:color w:val="000000"/>
          <w:szCs w:val="24"/>
          <w:lang w:eastAsia="es-CO"/>
        </w:rPr>
        <w:t xml:space="preserve">. Hasta tanto no se realice el registro de las operaciones en el RADIAN, no se hará efectiva la correspondiente cesión de derechos. Respecto de lo anterior, la Unidad Administrativa Especial Dirección de Impuestos y Aduanas Nacionales (DIAN), establecerá </w:t>
      </w:r>
      <w:r w:rsidRPr="00FD3EA0">
        <w:rPr>
          <w:rFonts w:eastAsia="Times New Roman" w:cs="Times New Roman"/>
          <w:i/>
          <w:iCs/>
          <w:color w:val="000000"/>
          <w:szCs w:val="24"/>
          <w:lang w:eastAsia="es-CO"/>
        </w:rPr>
        <w:lastRenderedPageBreak/>
        <w:t>las características, condiciones, plazos, términos y mecanismos técnicos y tecnológicos”.</w:t>
      </w:r>
      <w:r w:rsidRPr="00FD3EA0">
        <w:rPr>
          <w:rFonts w:eastAsia="Times New Roman" w:cs="Times New Roman"/>
          <w:color w:val="000000"/>
          <w:szCs w:val="24"/>
          <w:lang w:eastAsia="es-CO"/>
        </w:rPr>
        <w:t> (Subrayado y negrilla fuera de texto)</w:t>
      </w:r>
    </w:p>
    <w:p w14:paraId="316E644D"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730A9B56"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Así las cosas, el texto legal es claro en indicar que deberá efectuarse el registro en el RADIAN de la transferencia de derechos económicos contenidos en una factura electrónica que sea un título valor.</w:t>
      </w:r>
    </w:p>
    <w:p w14:paraId="78F62960"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169E40E3"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Para el efecto, el artículo 9 de la Resolución DIAN No. 000085 de 2022 señala:</w:t>
      </w:r>
    </w:p>
    <w:p w14:paraId="502C056D"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3D912F2"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w:t>
      </w:r>
      <w:r w:rsidRPr="00FD3EA0">
        <w:rPr>
          <w:rFonts w:eastAsia="Times New Roman" w:cs="Times New Roman"/>
          <w:b/>
          <w:bCs/>
          <w:i/>
          <w:iCs/>
          <w:color w:val="000000"/>
          <w:szCs w:val="24"/>
          <w:lang w:eastAsia="es-CO"/>
        </w:rPr>
        <w:t>Artículo 9.</w:t>
      </w:r>
      <w:r w:rsidRPr="00FD3EA0">
        <w:rPr>
          <w:rFonts w:eastAsia="Times New Roman" w:cs="Times New Roman"/>
          <w:i/>
          <w:iCs/>
          <w:color w:val="000000"/>
          <w:szCs w:val="24"/>
          <w:lang w:eastAsia="es-CO"/>
        </w:rPr>
        <w:t> Eventos que se registran en el RADIAN. De conformidad con lo indicado en el numeral 6 del artículo 2.2.2.53.2. del Decreto 1074 de 2015, Único Reglamentario del Sector Comercio, Industria y Turismo, y una vez inscrita la factura electrónica de venta como título valor de acuerdo con lo previsto en el artículo 7 de esta resolución, los eventos que se asocian a la citada factura, que se pueden registrar por parte de los usuarios del RADIAN, son:</w:t>
      </w:r>
    </w:p>
    <w:p w14:paraId="79B89A6A"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w:t>
      </w:r>
    </w:p>
    <w:p w14:paraId="3A08BFCE"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9. </w:t>
      </w:r>
      <w:r w:rsidRPr="00FD3EA0">
        <w:rPr>
          <w:rFonts w:eastAsia="Times New Roman" w:cs="Times New Roman"/>
          <w:i/>
          <w:iCs/>
          <w:color w:val="000000"/>
          <w:szCs w:val="24"/>
          <w:u w:val="single"/>
          <w:lang w:eastAsia="es-CO"/>
        </w:rPr>
        <w:t>Transferencia de los derechos económicos</w:t>
      </w:r>
      <w:r w:rsidRPr="00FD3EA0">
        <w:rPr>
          <w:rFonts w:eastAsia="Times New Roman" w:cs="Times New Roman"/>
          <w:i/>
          <w:iCs/>
          <w:color w:val="000000"/>
          <w:szCs w:val="24"/>
          <w:lang w:eastAsia="es-CO"/>
        </w:rPr>
        <w:t>:</w:t>
      </w:r>
    </w:p>
    <w:p w14:paraId="7CB31FDE"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9.1. Transferencia total de los derechos económicos con responsabilidad.</w:t>
      </w:r>
    </w:p>
    <w:p w14:paraId="7EDA8646"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9.2. Transferencia parcial de los derechos económicos con responsabilidad.</w:t>
      </w:r>
    </w:p>
    <w:p w14:paraId="205E2ABC"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9.3. Transferencia total de los derechos económicos sin responsabilidad.</w:t>
      </w:r>
    </w:p>
    <w:p w14:paraId="579A3926"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9.4. Transferencia parcial de los derechos económicos sin responsabilidad.</w:t>
      </w:r>
    </w:p>
    <w:p w14:paraId="528F5240"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9.5. Notificación al deudor sobre la transferencia de los derechos económicos.</w:t>
      </w:r>
    </w:p>
    <w:p w14:paraId="5F534D38"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9.6. Pago de la transferencia de los derechos económicos.</w:t>
      </w:r>
    </w:p>
    <w:p w14:paraId="19C653BC"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68870679"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Los usuarios de que trata el artículo 11 de esta resolución realizarán el registro de los eventos antes señalados en el RADIAN, atendiendo los procedimientos de generación, transmisión, validación y entrega, así como los requisitos de que trata el TÍTULO VI, el artículo 10 de la presente resolución y de conformidad con los mecanismos técnicos y tecnológicos que se establecen en el «Anexo técnico RADIAN»”.</w:t>
      </w:r>
      <w:r w:rsidRPr="00FD3EA0">
        <w:rPr>
          <w:rFonts w:eastAsia="Times New Roman" w:cs="Times New Roman"/>
          <w:color w:val="000000"/>
          <w:szCs w:val="24"/>
          <w:lang w:eastAsia="es-CO"/>
        </w:rPr>
        <w:t> (Subrayado fuera de texto)</w:t>
      </w:r>
    </w:p>
    <w:p w14:paraId="1F102C1F"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A7964C6"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 xml:space="preserve">5.1.1.18. ¿Si un proveedor cede los derechos económicos sobre un contrato y con ello sobre todas las facturas expedidas o que se expedirán en desarrollo o ejecución </w:t>
      </w:r>
      <w:proofErr w:type="gramStart"/>
      <w:r w:rsidRPr="00FD3EA0">
        <w:rPr>
          <w:rFonts w:eastAsia="Times New Roman" w:cs="Times New Roman"/>
          <w:i/>
          <w:iCs/>
          <w:color w:val="000000"/>
          <w:szCs w:val="24"/>
          <w:lang w:eastAsia="es-CO"/>
        </w:rPr>
        <w:t>del mismo</w:t>
      </w:r>
      <w:proofErr w:type="gramEnd"/>
      <w:r w:rsidRPr="00FD3EA0">
        <w:rPr>
          <w:rFonts w:eastAsia="Times New Roman" w:cs="Times New Roman"/>
          <w:i/>
          <w:iCs/>
          <w:color w:val="000000"/>
          <w:szCs w:val="24"/>
          <w:lang w:eastAsia="es-CO"/>
        </w:rPr>
        <w:t>, debe registrar cada factura objeto de la cesión de derechos con este evento en el RADIAN?</w:t>
      </w:r>
    </w:p>
    <w:p w14:paraId="2E1BCCA8"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7B8722DE"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Al respecto se precisa que, en razón a lo dispuesto en el parágrafo tercero del </w:t>
      </w:r>
      <w:hyperlink r:id="rId8" w:tooltip="Estatuto Tributario CETA" w:history="1">
        <w:r w:rsidRPr="00FD3EA0">
          <w:rPr>
            <w:rFonts w:eastAsia="Times New Roman" w:cs="Times New Roman"/>
            <w:color w:val="0645AD"/>
            <w:szCs w:val="24"/>
            <w:u w:val="single"/>
            <w:lang w:eastAsia="es-CO"/>
          </w:rPr>
          <w:t>artículo 616-1</w:t>
        </w:r>
      </w:hyperlink>
      <w:r w:rsidRPr="00FD3EA0">
        <w:rPr>
          <w:rFonts w:eastAsia="Times New Roman" w:cs="Times New Roman"/>
          <w:color w:val="000000"/>
          <w:szCs w:val="24"/>
          <w:lang w:eastAsia="es-CO"/>
        </w:rPr>
        <w:t> del Estatuto Tributario, para efectos de que se materialice la transferencia de derechos económicos contenidos en una factura electrónica que sea un título valor, el enajenante, cedente o endosatario deberá inscribir en el Registro de las Facturas Electrónicas de Venta administrado por la Unidad Administrativa Especial Dirección de Impuestos y Aduanas Nacionales (DIAN), - RADIAN la transacción realizada.</w:t>
      </w:r>
    </w:p>
    <w:p w14:paraId="0A5196B0"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770E911C"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lastRenderedPageBreak/>
        <w:t>Por tal razón, cada una de las facturas electrónicas que sea un título valor, objeto de la cesión de derechos, para efectos de que se materialice la transferencia de derechos económicos deberá inscribirse en el RADIAN por expresa disposición legal.</w:t>
      </w:r>
    </w:p>
    <w:p w14:paraId="04E1E1B3"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689C53AF" w14:textId="77777777" w:rsidR="00FD3EA0" w:rsidRPr="00FD3EA0" w:rsidRDefault="00FD3EA0" w:rsidP="00FD3EA0">
      <w:pPr>
        <w:numPr>
          <w:ilvl w:val="0"/>
          <w:numId w:val="4"/>
        </w:numPr>
        <w:spacing w:before="100" w:beforeAutospacing="1" w:after="100" w:afterAutospacing="1" w:line="360" w:lineRule="auto"/>
        <w:ind w:left="360" w:firstLine="0"/>
        <w:jc w:val="both"/>
        <w:rPr>
          <w:rFonts w:eastAsia="Times New Roman" w:cs="Times New Roman"/>
          <w:color w:val="000000"/>
          <w:szCs w:val="24"/>
          <w:lang w:eastAsia="es-CO"/>
        </w:rPr>
      </w:pPr>
      <w:r w:rsidRPr="00FD3EA0">
        <w:rPr>
          <w:rFonts w:eastAsia="Times New Roman" w:cs="Times New Roman"/>
          <w:color w:val="000000"/>
          <w:szCs w:val="24"/>
          <w:lang w:eastAsia="es-CO"/>
        </w:rPr>
        <w:t>En segundo lugar, se requiere adicionar al descriptor 5.1.5. referido a la “</w:t>
      </w:r>
      <w:r w:rsidRPr="00FD3EA0">
        <w:rPr>
          <w:rFonts w:eastAsia="Times New Roman" w:cs="Times New Roman"/>
          <w:b/>
          <w:bCs/>
          <w:i/>
          <w:iCs/>
          <w:color w:val="000000"/>
          <w:szCs w:val="24"/>
          <w:lang w:eastAsia="es-CO"/>
        </w:rPr>
        <w:t>Obligatoriedad de confirmar el recibido de la factura electrónica de venta y de los bienes o servicios adquiridos mediante mensaje electrónico al facturador</w:t>
      </w:r>
      <w:r w:rsidRPr="00FD3EA0">
        <w:rPr>
          <w:rFonts w:eastAsia="Times New Roman" w:cs="Times New Roman"/>
          <w:color w:val="000000"/>
          <w:szCs w:val="24"/>
          <w:lang w:eastAsia="es-CO"/>
        </w:rPr>
        <w:t>” los siguientes sub numerales y categorías, así:</w:t>
      </w:r>
    </w:p>
    <w:p w14:paraId="5043619A"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404228B"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5.1.5.1. ¿Qué debe entenderse por facturas expedidas en operaciones a “crédito” o con un “plazo para el pago” de acuerdo con lo dispuesto en el </w:t>
      </w:r>
      <w:hyperlink r:id="rId9" w:tooltip="Estatuto Tributario CETA" w:history="1">
        <w:r w:rsidRPr="00FD3EA0">
          <w:rPr>
            <w:rFonts w:eastAsia="Times New Roman" w:cs="Times New Roman"/>
            <w:i/>
            <w:iCs/>
            <w:color w:val="0645AD"/>
            <w:szCs w:val="24"/>
            <w:u w:val="single"/>
            <w:lang w:eastAsia="es-CO"/>
          </w:rPr>
          <w:t>artículo 616-1</w:t>
        </w:r>
      </w:hyperlink>
      <w:r w:rsidRPr="00FD3EA0">
        <w:rPr>
          <w:rFonts w:eastAsia="Times New Roman" w:cs="Times New Roman"/>
          <w:i/>
          <w:iCs/>
          <w:color w:val="000000"/>
          <w:szCs w:val="24"/>
          <w:lang w:eastAsia="es-CO"/>
        </w:rPr>
        <w:t> del Estatuto Tributario?</w:t>
      </w:r>
    </w:p>
    <w:p w14:paraId="6DAE00EA"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76609B8"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El inciso décimo del </w:t>
      </w:r>
      <w:hyperlink r:id="rId10" w:tooltip="Estatuto Tributario CETA" w:history="1">
        <w:r w:rsidRPr="00FD3EA0">
          <w:rPr>
            <w:rFonts w:eastAsia="Times New Roman" w:cs="Times New Roman"/>
            <w:color w:val="0645AD"/>
            <w:szCs w:val="24"/>
            <w:u w:val="single"/>
            <w:lang w:eastAsia="es-CO"/>
          </w:rPr>
          <w:t>artículo 616-1</w:t>
        </w:r>
      </w:hyperlink>
      <w:r w:rsidRPr="00FD3EA0">
        <w:rPr>
          <w:rFonts w:eastAsia="Times New Roman" w:cs="Times New Roman"/>
          <w:color w:val="000000"/>
          <w:szCs w:val="24"/>
          <w:lang w:eastAsia="es-CO"/>
        </w:rPr>
        <w:t> del Estatuto Tributario, establece:</w:t>
      </w:r>
    </w:p>
    <w:p w14:paraId="308FA34C"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11787114"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 cuando la venta de un bien y/o prestación del servicio se realice a través de una factura electrónica de venta </w:t>
      </w:r>
      <w:r w:rsidRPr="00FD3EA0">
        <w:rPr>
          <w:rFonts w:eastAsia="Times New Roman" w:cs="Times New Roman"/>
          <w:i/>
          <w:iCs/>
          <w:color w:val="000000"/>
          <w:szCs w:val="24"/>
          <w:u w:val="single"/>
          <w:lang w:eastAsia="es-CO"/>
        </w:rPr>
        <w:t>y la citada operación sea a crédito o de la misma se otorgue un plazo para el pago,</w:t>
      </w:r>
      <w:r w:rsidRPr="00FD3EA0">
        <w:rPr>
          <w:rFonts w:eastAsia="Times New Roman" w:cs="Times New Roman"/>
          <w:i/>
          <w:iCs/>
          <w:color w:val="000000"/>
          <w:szCs w:val="24"/>
          <w:lang w:eastAsia="es-CO"/>
        </w:rPr>
        <w:t> el adquirente deberá </w:t>
      </w:r>
      <w:r w:rsidRPr="00FD3EA0">
        <w:rPr>
          <w:rFonts w:eastAsia="Times New Roman" w:cs="Times New Roman"/>
          <w:i/>
          <w:iCs/>
          <w:color w:val="000000"/>
          <w:szCs w:val="24"/>
          <w:u w:val="single"/>
          <w:lang w:eastAsia="es-CO"/>
        </w:rPr>
        <w:t>confirmar</w:t>
      </w:r>
      <w:r w:rsidRPr="00FD3EA0">
        <w:rPr>
          <w:rFonts w:eastAsia="Times New Roman" w:cs="Times New Roman"/>
          <w:i/>
          <w:iCs/>
          <w:color w:val="000000"/>
          <w:szCs w:val="24"/>
          <w:lang w:eastAsia="es-CO"/>
        </w:rPr>
        <w:t xml:space="preserve"> el recibido de la factura electrónica de venta y de los bienes o servicios adquiridos mediante mensaje electrónico remitido al emisor para la expedición de </w:t>
      </w:r>
      <w:proofErr w:type="gramStart"/>
      <w:r w:rsidRPr="00FD3EA0">
        <w:rPr>
          <w:rFonts w:eastAsia="Times New Roman" w:cs="Times New Roman"/>
          <w:i/>
          <w:iCs/>
          <w:color w:val="000000"/>
          <w:szCs w:val="24"/>
          <w:lang w:eastAsia="es-CO"/>
        </w:rPr>
        <w:t>la misma</w:t>
      </w:r>
      <w:proofErr w:type="gramEnd"/>
      <w:r w:rsidRPr="00FD3EA0">
        <w:rPr>
          <w:rFonts w:eastAsia="Times New Roman" w:cs="Times New Roman"/>
          <w:i/>
          <w:iCs/>
          <w:color w:val="000000"/>
          <w:szCs w:val="24"/>
          <w:lang w:eastAsia="es-CO"/>
        </w:rPr>
        <w:t>, (...)”.</w:t>
      </w:r>
      <w:r w:rsidRPr="00FD3EA0">
        <w:rPr>
          <w:rFonts w:eastAsia="Times New Roman" w:cs="Times New Roman"/>
          <w:color w:val="000000"/>
          <w:szCs w:val="24"/>
          <w:lang w:eastAsia="es-CO"/>
        </w:rPr>
        <w:t> (Subrayado fuera de texto)</w:t>
      </w:r>
    </w:p>
    <w:p w14:paraId="5496D745"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39CD4516"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Ahora bien, determinar el significado de las diferentes formas de pago como modo de extinguir obligaciones, así como lo que debe entenderse por los conceptos referidos, no es objeto de la competencia de este Despacho, en virtud de lo establecido en el Decreto 1742 de 2020.</w:t>
      </w:r>
    </w:p>
    <w:p w14:paraId="12E040BA"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01FC9FB"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Así, para efectos de determinar el sentido de los conceptos bajo análisis, se deberá considerar lo siguiente en cada caso particular:</w:t>
      </w:r>
    </w:p>
    <w:p w14:paraId="1E9474AF"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404D1087"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En relación con el plazo, el artículo 1551 del Código Civil dispone:</w:t>
      </w:r>
    </w:p>
    <w:p w14:paraId="677FD24C"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2DB3A3D9"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color w:val="000000"/>
          <w:szCs w:val="24"/>
          <w:lang w:eastAsia="es-CO"/>
        </w:rPr>
        <w:t>“</w:t>
      </w:r>
      <w:r w:rsidRPr="00FD3EA0">
        <w:rPr>
          <w:rFonts w:eastAsia="Times New Roman" w:cs="Times New Roman"/>
          <w:b/>
          <w:bCs/>
          <w:i/>
          <w:iCs/>
          <w:color w:val="000000"/>
          <w:szCs w:val="24"/>
          <w:lang w:eastAsia="es-CO"/>
        </w:rPr>
        <w:t>ARTÍCULO 1551. DEFINICION DE PLAZO.</w:t>
      </w:r>
      <w:r w:rsidRPr="00FD3EA0">
        <w:rPr>
          <w:rFonts w:eastAsia="Times New Roman" w:cs="Times New Roman"/>
          <w:i/>
          <w:iCs/>
          <w:color w:val="000000"/>
          <w:szCs w:val="24"/>
          <w:lang w:eastAsia="es-CO"/>
        </w:rPr>
        <w:t> </w:t>
      </w:r>
      <w:r w:rsidRPr="00FD3EA0">
        <w:rPr>
          <w:rFonts w:eastAsia="Times New Roman" w:cs="Times New Roman"/>
          <w:i/>
          <w:iCs/>
          <w:color w:val="000000"/>
          <w:szCs w:val="24"/>
          <w:u w:val="single"/>
          <w:lang w:eastAsia="es-CO"/>
        </w:rPr>
        <w:t>El plazo es la época que se fija para el cumplimiento de la obligación;</w:t>
      </w:r>
      <w:r w:rsidRPr="00FD3EA0">
        <w:rPr>
          <w:rFonts w:eastAsia="Times New Roman" w:cs="Times New Roman"/>
          <w:i/>
          <w:iCs/>
          <w:color w:val="000000"/>
          <w:szCs w:val="24"/>
          <w:lang w:eastAsia="es-CO"/>
        </w:rPr>
        <w:t> puede ser expreso o tácito. Es tácito, el indispensable para cumplirlo (...)”.</w:t>
      </w:r>
      <w:r w:rsidRPr="00FD3EA0">
        <w:rPr>
          <w:rFonts w:eastAsia="Times New Roman" w:cs="Times New Roman"/>
          <w:color w:val="000000"/>
          <w:szCs w:val="24"/>
          <w:lang w:eastAsia="es-CO"/>
        </w:rPr>
        <w:t> (Subrayado fuera de texto)</w:t>
      </w:r>
    </w:p>
    <w:p w14:paraId="5FA1876F"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52D591BA"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Por otra parte, se ha entendido por plazo “</w:t>
      </w:r>
      <w:r w:rsidRPr="00FD3EA0">
        <w:rPr>
          <w:rFonts w:eastAsia="Times New Roman" w:cs="Times New Roman"/>
          <w:i/>
          <w:iCs/>
          <w:color w:val="000000"/>
          <w:szCs w:val="24"/>
          <w:u w:val="single"/>
          <w:lang w:eastAsia="es-CO"/>
        </w:rPr>
        <w:t>un hecho futuro y cierto del que pende el goce actual o la extinción de un derecho</w:t>
      </w:r>
      <w:r w:rsidRPr="00FD3EA0">
        <w:rPr>
          <w:rFonts w:eastAsia="Times New Roman" w:cs="Times New Roman"/>
          <w:i/>
          <w:iCs/>
          <w:color w:val="000000"/>
          <w:szCs w:val="24"/>
          <w:lang w:eastAsia="es-CO"/>
        </w:rPr>
        <w:t>. (...) así una fecha [futura] como el 13 de diciembre próximo, o la muerte de una persona, constituyen plazo o término”</w:t>
      </w:r>
      <w:r w:rsidRPr="00FD3EA0">
        <w:rPr>
          <w:rFonts w:eastAsia="Times New Roman" w:cs="Times New Roman"/>
          <w:color w:val="000000"/>
          <w:szCs w:val="24"/>
          <w:lang w:eastAsia="es-CO"/>
        </w:rPr>
        <w:t> (subrayado fuera de texto) (cfr. Guillermo Ospina Fernández, Régimen General de las Obligaciones, Quinta Edición, Editorial Temis S.A. Pág. 216).</w:t>
      </w:r>
    </w:p>
    <w:p w14:paraId="664475B1"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lastRenderedPageBreak/>
        <w:t> </w:t>
      </w:r>
    </w:p>
    <w:p w14:paraId="6B64016E"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De igual manera, la doctrina relevante sobre la materia ha señalado:</w:t>
      </w:r>
    </w:p>
    <w:p w14:paraId="7697DC02"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3AE02D17"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 </w:t>
      </w:r>
      <w:r w:rsidRPr="00FD3EA0">
        <w:rPr>
          <w:rFonts w:eastAsia="Times New Roman" w:cs="Times New Roman"/>
          <w:i/>
          <w:iCs/>
          <w:color w:val="000000"/>
          <w:szCs w:val="24"/>
          <w:u w:val="single"/>
          <w:lang w:eastAsia="es-CO"/>
        </w:rPr>
        <w:t>siempre que nos referimos a un plazo fijamos un término,</w:t>
      </w:r>
      <w:r w:rsidRPr="00FD3EA0">
        <w:rPr>
          <w:rFonts w:eastAsia="Times New Roman" w:cs="Times New Roman"/>
          <w:i/>
          <w:iCs/>
          <w:color w:val="000000"/>
          <w:szCs w:val="24"/>
          <w:lang w:eastAsia="es-CO"/>
        </w:rPr>
        <w:t xml:space="preserve"> pues mientras el primero es el </w:t>
      </w:r>
      <w:proofErr w:type="gramStart"/>
      <w:r w:rsidRPr="00FD3EA0">
        <w:rPr>
          <w:rFonts w:eastAsia="Times New Roman" w:cs="Times New Roman"/>
          <w:i/>
          <w:iCs/>
          <w:color w:val="000000"/>
          <w:szCs w:val="24"/>
          <w:lang w:eastAsia="es-CO"/>
        </w:rPr>
        <w:t>lapso de tiempo</w:t>
      </w:r>
      <w:proofErr w:type="gramEnd"/>
      <w:r w:rsidRPr="00FD3EA0">
        <w:rPr>
          <w:rFonts w:eastAsia="Times New Roman" w:cs="Times New Roman"/>
          <w:i/>
          <w:iCs/>
          <w:color w:val="000000"/>
          <w:szCs w:val="24"/>
          <w:lang w:eastAsia="es-CO"/>
        </w:rPr>
        <w:t>, el segundo determina el momento en que ese período culmina. El plazo siempre se refleja en una cualquiera de las distintas y variadas fórmulas que permiten contabilizar el paso del tiempo, siendo las más utilizadas las horas, los días, los meses y los años; y, por su parte, </w:t>
      </w:r>
      <w:r w:rsidRPr="00FD3EA0">
        <w:rPr>
          <w:rFonts w:eastAsia="Times New Roman" w:cs="Times New Roman"/>
          <w:i/>
          <w:iCs/>
          <w:color w:val="000000"/>
          <w:szCs w:val="24"/>
          <w:u w:val="single"/>
          <w:lang w:eastAsia="es-CO"/>
        </w:rPr>
        <w:t>el término es la fecha o momento cierto en el que dicho conteo finaliza indefectiblemente,</w:t>
      </w:r>
      <w:r w:rsidRPr="00FD3EA0">
        <w:rPr>
          <w:rFonts w:eastAsia="Times New Roman" w:cs="Times New Roman"/>
          <w:i/>
          <w:iCs/>
          <w:color w:val="000000"/>
          <w:szCs w:val="24"/>
          <w:lang w:eastAsia="es-CO"/>
        </w:rPr>
        <w:t> siendo el día la más común de las formas de especificarlo (...) Lo relevante aquí (...) es ante todo que el sistema jurídico colombiano se acompasa con el hecho irrefutable de que </w:t>
      </w:r>
      <w:r w:rsidRPr="00FD3EA0">
        <w:rPr>
          <w:rFonts w:eastAsia="Times New Roman" w:cs="Times New Roman"/>
          <w:i/>
          <w:iCs/>
          <w:color w:val="000000"/>
          <w:szCs w:val="24"/>
          <w:u w:val="single"/>
          <w:lang w:eastAsia="es-CO"/>
        </w:rPr>
        <w:t>el plazo es siempre una época, un momento, un lapso o un intervalo de tiempo que debe suceder en el futuro y que puede y debe ser medible en orden a otorgarle la característica de certeza que lo identifica</w:t>
      </w:r>
      <w:r w:rsidRPr="00FD3EA0">
        <w:rPr>
          <w:rFonts w:eastAsia="Times New Roman" w:cs="Times New Roman"/>
          <w:i/>
          <w:iCs/>
          <w:color w:val="000000"/>
          <w:szCs w:val="24"/>
          <w:lang w:eastAsia="es-CO"/>
        </w:rPr>
        <w:t>”.</w:t>
      </w:r>
      <w:r w:rsidRPr="00FD3EA0">
        <w:rPr>
          <w:rFonts w:eastAsia="Times New Roman" w:cs="Times New Roman"/>
          <w:color w:val="000000"/>
          <w:szCs w:val="24"/>
          <w:lang w:eastAsia="es-CO"/>
        </w:rPr>
        <w:t> (subrayado fuera de texto) (cfr. Álvaro Pinilla Galvis Breves, Comentarios a las reglas vigentes para el cómputo de plazos o términos de origen legal. Revista de Derecho Privado No. 24 de la Universidad Externado de Colombia, Bogotá, 2013. Pág. 285).</w:t>
      </w:r>
    </w:p>
    <w:p w14:paraId="452EA8A4"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2A087AE3"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 su vez, teniendo en cuenta que no existe una definición legal en el ordenamiento jurídico colombiano sobre las formas de pago al contado y a crédito y, con base en lo dispuesto en los artículos 27 y 28 del Código Civil, que señalan que </w:t>
      </w:r>
      <w:r w:rsidRPr="00FD3EA0">
        <w:rPr>
          <w:rFonts w:eastAsia="Times New Roman" w:cs="Times New Roman"/>
          <w:i/>
          <w:iCs/>
          <w:color w:val="000000"/>
          <w:szCs w:val="24"/>
          <w:lang w:eastAsia="es-CO"/>
        </w:rPr>
        <w:t>(i)</w:t>
      </w:r>
      <w:r w:rsidRPr="00FD3EA0">
        <w:rPr>
          <w:rFonts w:eastAsia="Times New Roman" w:cs="Times New Roman"/>
          <w:color w:val="000000"/>
          <w:szCs w:val="24"/>
          <w:lang w:eastAsia="es-CO"/>
        </w:rPr>
        <w:t> cuando el sentido de la ley sea claro no se desatenderá su tenor literal so pretexto de consultar su espíritu y </w:t>
      </w:r>
      <w:r w:rsidRPr="00FD3EA0">
        <w:rPr>
          <w:rFonts w:eastAsia="Times New Roman" w:cs="Times New Roman"/>
          <w:i/>
          <w:iCs/>
          <w:color w:val="000000"/>
          <w:szCs w:val="24"/>
          <w:lang w:eastAsia="es-CO"/>
        </w:rPr>
        <w:t>(</w:t>
      </w:r>
      <w:proofErr w:type="spellStart"/>
      <w:r w:rsidRPr="00FD3EA0">
        <w:rPr>
          <w:rFonts w:eastAsia="Times New Roman" w:cs="Times New Roman"/>
          <w:i/>
          <w:iCs/>
          <w:color w:val="000000"/>
          <w:szCs w:val="24"/>
          <w:lang w:eastAsia="es-CO"/>
        </w:rPr>
        <w:t>ii</w:t>
      </w:r>
      <w:proofErr w:type="spellEnd"/>
      <w:r w:rsidRPr="00FD3EA0">
        <w:rPr>
          <w:rFonts w:eastAsia="Times New Roman" w:cs="Times New Roman"/>
          <w:i/>
          <w:iCs/>
          <w:color w:val="000000"/>
          <w:szCs w:val="24"/>
          <w:lang w:eastAsia="es-CO"/>
        </w:rPr>
        <w:t>)</w:t>
      </w:r>
      <w:r w:rsidRPr="00FD3EA0">
        <w:rPr>
          <w:rFonts w:eastAsia="Times New Roman" w:cs="Times New Roman"/>
          <w:color w:val="000000"/>
          <w:szCs w:val="24"/>
          <w:lang w:eastAsia="es-CO"/>
        </w:rPr>
        <w:t> que las palabras de la ley se entenderán en su sentido natural y obvio, según el uso general de las mismas, salvo cuando tengan un significado legal, se deberá acudir a la definición establecida por la Real Academia Española -RAE, que señala:</w:t>
      </w:r>
    </w:p>
    <w:p w14:paraId="225F321B"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3911EEE8"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 </w:t>
      </w:r>
      <w:r w:rsidRPr="00FD3EA0">
        <w:rPr>
          <w:rFonts w:eastAsia="Times New Roman" w:cs="Times New Roman"/>
          <w:b/>
          <w:bCs/>
          <w:i/>
          <w:iCs/>
          <w:color w:val="000000"/>
          <w:szCs w:val="24"/>
          <w:u w:val="single"/>
          <w:lang w:eastAsia="es-CO"/>
        </w:rPr>
        <w:t>al contado</w:t>
      </w:r>
      <w:r w:rsidRPr="00FD3EA0">
        <w:rPr>
          <w:rFonts w:eastAsia="Times New Roman" w:cs="Times New Roman"/>
          <w:b/>
          <w:bCs/>
          <w:i/>
          <w:iCs/>
          <w:color w:val="000000"/>
          <w:szCs w:val="24"/>
          <w:lang w:eastAsia="es-CO"/>
        </w:rPr>
        <w:t>. </w:t>
      </w:r>
      <w:r w:rsidRPr="00FD3EA0">
        <w:rPr>
          <w:rFonts w:eastAsia="Times New Roman" w:cs="Times New Roman"/>
          <w:i/>
          <w:iCs/>
          <w:color w:val="000000"/>
          <w:szCs w:val="24"/>
          <w:lang w:eastAsia="es-CO"/>
        </w:rPr>
        <w:t>2. loc. adv. </w:t>
      </w:r>
      <w:r w:rsidRPr="00FD3EA0">
        <w:rPr>
          <w:rFonts w:eastAsia="Times New Roman" w:cs="Times New Roman"/>
          <w:b/>
          <w:bCs/>
          <w:i/>
          <w:iCs/>
          <w:color w:val="000000"/>
          <w:szCs w:val="24"/>
          <w:u w:val="single"/>
          <w:lang w:eastAsia="es-CO"/>
        </w:rPr>
        <w:t>Con pago inmediato</w:t>
      </w:r>
      <w:r w:rsidRPr="00FD3EA0">
        <w:rPr>
          <w:rFonts w:eastAsia="Times New Roman" w:cs="Times New Roman"/>
          <w:b/>
          <w:bCs/>
          <w:i/>
          <w:iCs/>
          <w:color w:val="000000"/>
          <w:szCs w:val="24"/>
          <w:lang w:eastAsia="es-CO"/>
        </w:rPr>
        <w:t> </w:t>
      </w:r>
      <w:r w:rsidRPr="00FD3EA0">
        <w:rPr>
          <w:rFonts w:eastAsia="Times New Roman" w:cs="Times New Roman"/>
          <w:i/>
          <w:iCs/>
          <w:color w:val="000000"/>
          <w:szCs w:val="24"/>
          <w:lang w:eastAsia="es-CO"/>
        </w:rPr>
        <w:t>en moneda efectiva o su equivalente”.</w:t>
      </w:r>
    </w:p>
    <w:p w14:paraId="0006FD7F"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2737A1FE"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b/>
          <w:bCs/>
          <w:i/>
          <w:iCs/>
          <w:color w:val="000000"/>
          <w:szCs w:val="24"/>
          <w:u w:val="single"/>
          <w:lang w:eastAsia="es-CO"/>
        </w:rPr>
        <w:t>“a crédito.</w:t>
      </w:r>
    </w:p>
    <w:p w14:paraId="1C4E513D"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1. loc. adv. </w:t>
      </w:r>
      <w:r w:rsidRPr="00FD3EA0">
        <w:rPr>
          <w:rFonts w:eastAsia="Times New Roman" w:cs="Times New Roman"/>
          <w:b/>
          <w:bCs/>
          <w:i/>
          <w:iCs/>
          <w:color w:val="000000"/>
          <w:szCs w:val="24"/>
          <w:u w:val="single"/>
          <w:lang w:eastAsia="es-CO"/>
        </w:rPr>
        <w:t>Sin pagar inmediatamente</w:t>
      </w:r>
      <w:r w:rsidRPr="00FD3EA0">
        <w:rPr>
          <w:rFonts w:eastAsia="Times New Roman" w:cs="Times New Roman"/>
          <w:i/>
          <w:iCs/>
          <w:color w:val="000000"/>
          <w:szCs w:val="24"/>
          <w:u w:val="single"/>
          <w:lang w:eastAsia="es-CO"/>
        </w:rPr>
        <w:t>,</w:t>
      </w:r>
      <w:r w:rsidRPr="00FD3EA0">
        <w:rPr>
          <w:rFonts w:eastAsia="Times New Roman" w:cs="Times New Roman"/>
          <w:i/>
          <w:iCs/>
          <w:color w:val="000000"/>
          <w:szCs w:val="24"/>
          <w:lang w:eastAsia="es-CO"/>
        </w:rPr>
        <w:t> al fiado. U. t. c. loc. adj. Venta a crédito”. </w:t>
      </w:r>
      <w:r w:rsidRPr="00FD3EA0">
        <w:rPr>
          <w:rFonts w:eastAsia="Times New Roman" w:cs="Times New Roman"/>
          <w:color w:val="000000"/>
          <w:szCs w:val="24"/>
          <w:lang w:eastAsia="es-CO"/>
        </w:rPr>
        <w:t>(Subrayado y negrilla fuera de texto)</w:t>
      </w:r>
    </w:p>
    <w:p w14:paraId="038F489C"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2AE14C09"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xml:space="preserve">De acuerdo con lo antes expuesto, corresponderá a cada interesado determinar -según sea su caso puntual- si la factura expedida en la venta de bienes y/o prestación de servicios corresponde a una operación a crédito o en la que se otorgue un plazo para el pago de </w:t>
      </w:r>
      <w:proofErr w:type="gramStart"/>
      <w:r w:rsidRPr="00FD3EA0">
        <w:rPr>
          <w:rFonts w:eastAsia="Times New Roman" w:cs="Times New Roman"/>
          <w:color w:val="000000"/>
          <w:szCs w:val="24"/>
          <w:lang w:eastAsia="es-CO"/>
        </w:rPr>
        <w:t>la misma</w:t>
      </w:r>
      <w:proofErr w:type="gramEnd"/>
      <w:r w:rsidRPr="00FD3EA0">
        <w:rPr>
          <w:rFonts w:eastAsia="Times New Roman" w:cs="Times New Roman"/>
          <w:color w:val="000000"/>
          <w:szCs w:val="24"/>
          <w:lang w:eastAsia="es-CO"/>
        </w:rPr>
        <w:t xml:space="preserve"> o si, por el contrario, la venta del bien y/o prestación del servicio se realizó al contado.</w:t>
      </w:r>
    </w:p>
    <w:p w14:paraId="202EB410"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3ABE8588"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5.1.5.2. ¿Cómo se debe cumplir con la remisión del mensaje electrónico de confirmación de recibido de la factura electrónica de venta y el mensaje electrónico del recibido de los bienes o servicios adquiridos, cuando la adquisición de bienes y/o prestación de servicios se realiza a través de patrimonios autónomos?</w:t>
      </w:r>
    </w:p>
    <w:p w14:paraId="3A158354"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665C0DF2"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lastRenderedPageBreak/>
        <w:t xml:space="preserve">Respecto de las facturas de venta en operaciones a crédito o cuando en las mismas se otorga un plazo para el pago, que se </w:t>
      </w:r>
      <w:proofErr w:type="spellStart"/>
      <w:r w:rsidRPr="00FD3EA0">
        <w:rPr>
          <w:rFonts w:eastAsia="Times New Roman" w:cs="Times New Roman"/>
          <w:color w:val="000000"/>
          <w:szCs w:val="24"/>
          <w:lang w:eastAsia="es-CO"/>
        </w:rPr>
        <w:t>recepcionan</w:t>
      </w:r>
      <w:proofErr w:type="spellEnd"/>
      <w:r w:rsidRPr="00FD3EA0">
        <w:rPr>
          <w:rFonts w:eastAsia="Times New Roman" w:cs="Times New Roman"/>
          <w:color w:val="000000"/>
          <w:szCs w:val="24"/>
          <w:lang w:eastAsia="es-CO"/>
        </w:rPr>
        <w:t xml:space="preserve"> por las sociedades fiduciarias en su calidad de administradoras de patrimonios autónomos, se precisa:</w:t>
      </w:r>
    </w:p>
    <w:p w14:paraId="748FF459"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519DE8B3"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De conformidad con lo dispuesto en el </w:t>
      </w:r>
      <w:hyperlink r:id="rId11" w:tooltip="Estatuto Tributario CETA" w:history="1">
        <w:r w:rsidRPr="00FD3EA0">
          <w:rPr>
            <w:rFonts w:eastAsia="Times New Roman" w:cs="Times New Roman"/>
            <w:color w:val="0645AD"/>
            <w:szCs w:val="24"/>
            <w:u w:val="single"/>
            <w:lang w:eastAsia="es-CO"/>
          </w:rPr>
          <w:t>artículo 102</w:t>
        </w:r>
      </w:hyperlink>
      <w:r w:rsidRPr="00FD3EA0">
        <w:rPr>
          <w:rFonts w:eastAsia="Times New Roman" w:cs="Times New Roman"/>
          <w:color w:val="000000"/>
          <w:szCs w:val="24"/>
          <w:lang w:eastAsia="es-CO"/>
        </w:rPr>
        <w:t> del Estatuto Tributario, en este tipo de relaciones contractuales y para la determinación del impuesto sobre la renta se está frente a un sujeto transparente que, conforme con las normas especiales vigentes, se rige bajo el principio de transparencia fiscal, entendido este de acuerdo con el numerales 2 y 5 </w:t>
      </w:r>
      <w:proofErr w:type="spellStart"/>
      <w:r w:rsidRPr="00FD3EA0">
        <w:rPr>
          <w:rFonts w:eastAsia="Times New Roman" w:cs="Times New Roman"/>
          <w:i/>
          <w:iCs/>
          <w:color w:val="000000"/>
          <w:szCs w:val="24"/>
          <w:lang w:eastAsia="es-CO"/>
        </w:rPr>
        <w:t>ibídem</w:t>
      </w:r>
      <w:proofErr w:type="spellEnd"/>
      <w:r w:rsidRPr="00FD3EA0">
        <w:rPr>
          <w:rFonts w:eastAsia="Times New Roman" w:cs="Times New Roman"/>
          <w:color w:val="000000"/>
          <w:szCs w:val="24"/>
          <w:lang w:eastAsia="es-CO"/>
        </w:rPr>
        <w:t>, así:</w:t>
      </w:r>
    </w:p>
    <w:p w14:paraId="31F50A4C"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2098D556"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 2. El principio de transparencia en los contratos de fiducia mercantil opera de la siguiente manera:</w:t>
      </w:r>
    </w:p>
    <w:p w14:paraId="223D01E9"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197F0DEE"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En los contratos de fiducia mercantil </w:t>
      </w:r>
      <w:r w:rsidRPr="00FD3EA0">
        <w:rPr>
          <w:rFonts w:eastAsia="Times New Roman" w:cs="Times New Roman"/>
          <w:i/>
          <w:iCs/>
          <w:color w:val="000000"/>
          <w:szCs w:val="24"/>
          <w:u w:val="single"/>
          <w:lang w:eastAsia="es-CO"/>
        </w:rPr>
        <w:t>los beneficiarios,</w:t>
      </w:r>
      <w:r w:rsidRPr="00FD3EA0">
        <w:rPr>
          <w:rFonts w:eastAsia="Times New Roman" w:cs="Times New Roman"/>
          <w:i/>
          <w:iCs/>
          <w:color w:val="000000"/>
          <w:szCs w:val="24"/>
          <w:lang w:eastAsia="es-CO"/>
        </w:rPr>
        <w:t> deberán incluir en sus declaraciones del impuesto sobre la renta y complementarios, </w:t>
      </w:r>
      <w:r w:rsidRPr="00FD3EA0">
        <w:rPr>
          <w:rFonts w:eastAsia="Times New Roman" w:cs="Times New Roman"/>
          <w:i/>
          <w:iCs/>
          <w:color w:val="000000"/>
          <w:szCs w:val="24"/>
          <w:u w:val="single"/>
          <w:lang w:eastAsia="es-CO"/>
        </w:rPr>
        <w:t>los ingresos, costos y gastos devengados con cargo al patrimonio autónomo,</w:t>
      </w:r>
      <w:r w:rsidRPr="00FD3EA0">
        <w:rPr>
          <w:rFonts w:eastAsia="Times New Roman" w:cs="Times New Roman"/>
          <w:i/>
          <w:iCs/>
          <w:color w:val="000000"/>
          <w:szCs w:val="24"/>
          <w:lang w:eastAsia="es-CO"/>
        </w:rPr>
        <w:t> en el mismo año o período gravable en que se devenguen a favor o en contra del patrimonio autónomo </w:t>
      </w:r>
      <w:r w:rsidRPr="00FD3EA0">
        <w:rPr>
          <w:rFonts w:eastAsia="Times New Roman" w:cs="Times New Roman"/>
          <w:i/>
          <w:iCs/>
          <w:color w:val="000000"/>
          <w:szCs w:val="24"/>
          <w:u w:val="single"/>
          <w:lang w:eastAsia="es-CO"/>
        </w:rPr>
        <w:t>con las mismas condiciones tributarias, tales como fuente, naturaleza, deducibilidad y concepto, que tendrían si las actividades que las originaron fueren desarrolladas directamente por el beneficiario</w:t>
      </w:r>
      <w:r w:rsidRPr="00FD3EA0">
        <w:rPr>
          <w:rFonts w:eastAsia="Times New Roman" w:cs="Times New Roman"/>
          <w:i/>
          <w:iCs/>
          <w:color w:val="000000"/>
          <w:szCs w:val="24"/>
          <w:lang w:eastAsia="es-CO"/>
        </w:rPr>
        <w:t>.</w:t>
      </w:r>
    </w:p>
    <w:p w14:paraId="3A462579"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30186DC5"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 xml:space="preserve">Cuando los beneficiarios o fideicomitentes sean </w:t>
      </w:r>
      <w:proofErr w:type="gramStart"/>
      <w:r w:rsidRPr="00FD3EA0">
        <w:rPr>
          <w:rFonts w:eastAsia="Times New Roman" w:cs="Times New Roman"/>
          <w:i/>
          <w:iCs/>
          <w:color w:val="000000"/>
          <w:szCs w:val="24"/>
          <w:lang w:eastAsia="es-CO"/>
        </w:rPr>
        <w:t>personas naturales no obligadas a llevar</w:t>
      </w:r>
      <w:proofErr w:type="gramEnd"/>
      <w:r w:rsidRPr="00FD3EA0">
        <w:rPr>
          <w:rFonts w:eastAsia="Times New Roman" w:cs="Times New Roman"/>
          <w:i/>
          <w:iCs/>
          <w:color w:val="000000"/>
          <w:szCs w:val="24"/>
          <w:lang w:eastAsia="es-CO"/>
        </w:rPr>
        <w:t xml:space="preserve"> contabilidad se observará la regla de realización prevista en el </w:t>
      </w:r>
      <w:hyperlink r:id="rId12" w:tooltip="Estatuto Tributario CETA" w:history="1">
        <w:r w:rsidRPr="00FD3EA0">
          <w:rPr>
            <w:rFonts w:eastAsia="Times New Roman" w:cs="Times New Roman"/>
            <w:i/>
            <w:iCs/>
            <w:color w:val="0645AD"/>
            <w:szCs w:val="24"/>
            <w:u w:val="single"/>
            <w:lang w:eastAsia="es-CO"/>
          </w:rPr>
          <w:t>artículo 27</w:t>
        </w:r>
      </w:hyperlink>
      <w:r w:rsidRPr="00FD3EA0">
        <w:rPr>
          <w:rFonts w:eastAsia="Times New Roman" w:cs="Times New Roman"/>
          <w:i/>
          <w:iCs/>
          <w:color w:val="000000"/>
          <w:szCs w:val="24"/>
          <w:lang w:eastAsia="es-CO"/>
        </w:rPr>
        <w:t> del Estatuto Tributario</w:t>
      </w:r>
    </w:p>
    <w:p w14:paraId="3437FE1A"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w:t>
      </w:r>
    </w:p>
    <w:p w14:paraId="631BF59F"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5. </w:t>
      </w:r>
      <w:r w:rsidRPr="00FD3EA0">
        <w:rPr>
          <w:rFonts w:eastAsia="Times New Roman" w:cs="Times New Roman"/>
          <w:b/>
          <w:bCs/>
          <w:i/>
          <w:iCs/>
          <w:color w:val="000000"/>
          <w:szCs w:val="24"/>
          <w:u w:val="single"/>
          <w:lang w:eastAsia="es-CO"/>
        </w:rPr>
        <w:t>Las sociedades fiduciarias deben cumplir con los deberes formales de los patrimonios autónomos que administren</w:t>
      </w:r>
      <w:r w:rsidRPr="00FD3EA0">
        <w:rPr>
          <w:rFonts w:eastAsia="Times New Roman" w:cs="Times New Roman"/>
          <w:i/>
          <w:iCs/>
          <w:color w:val="000000"/>
          <w:szCs w:val="24"/>
          <w:lang w:eastAsia="es-CO"/>
        </w:rPr>
        <w:t xml:space="preserve">. Para tal fin, se </w:t>
      </w:r>
      <w:proofErr w:type="gramStart"/>
      <w:r w:rsidRPr="00FD3EA0">
        <w:rPr>
          <w:rFonts w:eastAsia="Times New Roman" w:cs="Times New Roman"/>
          <w:i/>
          <w:iCs/>
          <w:color w:val="000000"/>
          <w:szCs w:val="24"/>
          <w:lang w:eastAsia="es-CO"/>
        </w:rPr>
        <w:t>le</w:t>
      </w:r>
      <w:proofErr w:type="gramEnd"/>
      <w:r w:rsidRPr="00FD3EA0">
        <w:rPr>
          <w:rFonts w:eastAsia="Times New Roman" w:cs="Times New Roman"/>
          <w:i/>
          <w:iCs/>
          <w:color w:val="000000"/>
          <w:szCs w:val="24"/>
          <w:lang w:eastAsia="es-CO"/>
        </w:rPr>
        <w:t xml:space="preserve"> asignará a las sociedades fiduciarias, aparte del NIT propio, un NIT que identifique en forma global a todos los fideicomisos que administren. El Gobierno Nacional determinará adicionalmente en qué casos los patrimonios autónomos administrados deberán contar con un NIT individual, que se les asignará en consecuencia.</w:t>
      </w:r>
    </w:p>
    <w:p w14:paraId="42AACE38"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w:t>
      </w:r>
    </w:p>
    <w:p w14:paraId="2DB6250B"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u w:val="single"/>
          <w:lang w:eastAsia="es-CO"/>
        </w:rPr>
        <w:t xml:space="preserve">Los fiduciarios son responsables, por las sanciones derivadas del incumplimiento de las obligaciones formales a cargo de los patrimonios </w:t>
      </w:r>
      <w:proofErr w:type="gramStart"/>
      <w:r w:rsidRPr="00FD3EA0">
        <w:rPr>
          <w:rFonts w:eastAsia="Times New Roman" w:cs="Times New Roman"/>
          <w:i/>
          <w:iCs/>
          <w:color w:val="000000"/>
          <w:szCs w:val="24"/>
          <w:u w:val="single"/>
          <w:lang w:eastAsia="es-CO"/>
        </w:rPr>
        <w:t>autónomos</w:t>
      </w:r>
      <w:proofErr w:type="gramEnd"/>
      <w:r w:rsidRPr="00FD3EA0">
        <w:rPr>
          <w:rFonts w:eastAsia="Times New Roman" w:cs="Times New Roman"/>
          <w:i/>
          <w:iCs/>
          <w:color w:val="000000"/>
          <w:szCs w:val="24"/>
          <w:u w:val="single"/>
          <w:lang w:eastAsia="es-CO"/>
        </w:rPr>
        <w:t xml:space="preserve"> así como de la sanción por corrección, por inexactitud, por corrección aritmética y de cualquier otra sanción relacionada con dichas declaraciones</w:t>
      </w:r>
      <w:r w:rsidRPr="00FD3EA0">
        <w:rPr>
          <w:rFonts w:eastAsia="Times New Roman" w:cs="Times New Roman"/>
          <w:i/>
          <w:iCs/>
          <w:color w:val="000000"/>
          <w:szCs w:val="24"/>
          <w:lang w:eastAsia="es-CO"/>
        </w:rPr>
        <w:t>.</w:t>
      </w:r>
    </w:p>
    <w:p w14:paraId="3FB7E3A6"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0CA52A2E"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t xml:space="preserve">Con cargo a los recursos del fideicomiso, los fiduciarios deberán atender el pago de los impuestos de ventas, timbre y de la retención en la fuente, que se generen como resultado de las operaciones </w:t>
      </w:r>
      <w:proofErr w:type="gramStart"/>
      <w:r w:rsidRPr="00FD3EA0">
        <w:rPr>
          <w:rFonts w:eastAsia="Times New Roman" w:cs="Times New Roman"/>
          <w:i/>
          <w:iCs/>
          <w:color w:val="000000"/>
          <w:szCs w:val="24"/>
          <w:lang w:eastAsia="es-CO"/>
        </w:rPr>
        <w:t>del mismo</w:t>
      </w:r>
      <w:proofErr w:type="gramEnd"/>
      <w:r w:rsidRPr="00FD3EA0">
        <w:rPr>
          <w:rFonts w:eastAsia="Times New Roman" w:cs="Times New Roman"/>
          <w:i/>
          <w:iCs/>
          <w:color w:val="000000"/>
          <w:szCs w:val="24"/>
          <w:lang w:eastAsia="es-CO"/>
        </w:rPr>
        <w:t>, así como de sus correspondientes intereses moratorios y actualización por inflación, cuando sean procedentes.</w:t>
      </w:r>
    </w:p>
    <w:p w14:paraId="374FD624"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0CD6FC19" w14:textId="77777777" w:rsidR="00FD3EA0" w:rsidRPr="00FD3EA0" w:rsidRDefault="00FD3EA0" w:rsidP="00FD3EA0">
      <w:pPr>
        <w:spacing w:after="0" w:line="360" w:lineRule="auto"/>
        <w:ind w:left="284"/>
        <w:jc w:val="both"/>
        <w:rPr>
          <w:rFonts w:eastAsia="Times New Roman" w:cs="Times New Roman"/>
          <w:color w:val="000000"/>
          <w:szCs w:val="24"/>
          <w:lang w:eastAsia="es-CO"/>
        </w:rPr>
      </w:pPr>
      <w:r w:rsidRPr="00FD3EA0">
        <w:rPr>
          <w:rFonts w:eastAsia="Times New Roman" w:cs="Times New Roman"/>
          <w:i/>
          <w:iCs/>
          <w:color w:val="000000"/>
          <w:szCs w:val="24"/>
          <w:lang w:eastAsia="es-CO"/>
        </w:rPr>
        <w:lastRenderedPageBreak/>
        <w:t>Cuando los recursos del fideicomiso sean insuficientes, los beneficiarios responderán solidariamente por tales impuestos retenciones y sanciones”.</w:t>
      </w:r>
      <w:r w:rsidRPr="00FD3EA0">
        <w:rPr>
          <w:rFonts w:eastAsia="Times New Roman" w:cs="Times New Roman"/>
          <w:color w:val="000000"/>
          <w:szCs w:val="24"/>
          <w:lang w:eastAsia="es-CO"/>
        </w:rPr>
        <w:t> (Subrayado y negrilla fuera de texto)</w:t>
      </w:r>
    </w:p>
    <w:p w14:paraId="2E91F678"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30A91397"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Así las cosas, son las sociedades fiduciarias las responsables de cumplir con los deberes formales de los patrimonios autónomos que administren, y entre estos deberes se incluye la generación y remisión del mensaje electrónico de confirmación del recibido de la factura y de los bienes y/o servicios adquiridos, cuando estos actúan como adquirientes de los bienes y servicios objeto de la operación de venta y/o prestación de servicios bajo análisis.</w:t>
      </w:r>
    </w:p>
    <w:p w14:paraId="616151F5"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 </w:t>
      </w:r>
    </w:p>
    <w:p w14:paraId="6D92167E" w14:textId="77777777" w:rsidR="00FD3EA0" w:rsidRPr="00FD3EA0" w:rsidRDefault="00FD3EA0" w:rsidP="00FD3EA0">
      <w:pPr>
        <w:spacing w:after="0" w:line="360" w:lineRule="auto"/>
        <w:jc w:val="both"/>
        <w:rPr>
          <w:rFonts w:eastAsia="Times New Roman" w:cs="Times New Roman"/>
          <w:color w:val="000000"/>
          <w:szCs w:val="24"/>
          <w:lang w:eastAsia="es-CO"/>
        </w:rPr>
      </w:pPr>
      <w:r w:rsidRPr="00FD3EA0">
        <w:rPr>
          <w:rFonts w:eastAsia="Times New Roman" w:cs="Times New Roman"/>
          <w:color w:val="000000"/>
          <w:szCs w:val="24"/>
          <w:lang w:eastAsia="es-CO"/>
        </w:rPr>
        <w:t>Lo anterior se fundamenta en la aplicación del principio de transparencia fiscal, toda vez que el mensaje electrónico de confirmación del recibido de la factura y de los bienes y/o servicios adquiridos, en la actualidad, es considerado como una condición de validez que dispuso el legislador para que toda factura electrónica de venta que se expida en una operación a crédito o en la que se otorgue un plazo para el pago, se constituya como soporte de costos o deducciones en el impuesto sobre la renta e impuestos descontables en IVA (cfr. </w:t>
      </w:r>
      <w:hyperlink r:id="rId13" w:tooltip="Estatuto Tributario CETA" w:history="1">
        <w:r w:rsidRPr="00FD3EA0">
          <w:rPr>
            <w:rFonts w:eastAsia="Times New Roman" w:cs="Times New Roman"/>
            <w:color w:val="0645AD"/>
            <w:szCs w:val="24"/>
            <w:u w:val="single"/>
            <w:lang w:eastAsia="es-CO"/>
          </w:rPr>
          <w:t>artículo 616-1</w:t>
        </w:r>
      </w:hyperlink>
      <w:r w:rsidRPr="00FD3EA0">
        <w:rPr>
          <w:rFonts w:eastAsia="Times New Roman" w:cs="Times New Roman"/>
          <w:color w:val="000000"/>
          <w:szCs w:val="24"/>
          <w:lang w:eastAsia="es-CO"/>
        </w:rPr>
        <w:t> del Estatuto Tributario).</w:t>
      </w:r>
    </w:p>
    <w:p w14:paraId="18974916" w14:textId="77777777" w:rsidR="00FD3EA0" w:rsidRPr="00FD3EA0" w:rsidRDefault="00FD3EA0" w:rsidP="00FD3EA0">
      <w:pPr>
        <w:pStyle w:val="NormalWeb"/>
        <w:spacing w:before="0" w:beforeAutospacing="0" w:after="0" w:afterAutospacing="0" w:line="360" w:lineRule="auto"/>
        <w:jc w:val="both"/>
        <w:rPr>
          <w:color w:val="000000"/>
          <w:shd w:val="clear" w:color="auto" w:fill="FFFFFF"/>
        </w:rPr>
      </w:pPr>
    </w:p>
    <w:p w14:paraId="350C0FB9" w14:textId="7EDB8391" w:rsidR="00FD3EA0" w:rsidRPr="00FD3EA0" w:rsidRDefault="00FD3EA0" w:rsidP="00FD3EA0">
      <w:pPr>
        <w:pStyle w:val="NormalWeb"/>
        <w:spacing w:before="0" w:beforeAutospacing="0" w:after="0" w:afterAutospacing="0" w:line="360" w:lineRule="auto"/>
        <w:jc w:val="both"/>
        <w:rPr>
          <w:color w:val="000000"/>
        </w:rPr>
      </w:pPr>
      <w:r w:rsidRPr="00FD3EA0">
        <w:rPr>
          <w:color w:val="000000"/>
          <w:shd w:val="clear" w:color="auto" w:fill="FFFFFF"/>
        </w:rPr>
        <w:t>En consecuencia, deberán las sociedades fiduciarias, en calidad de responsables de cumplir con los deberes formales de los patrimonios autónomos que administren, realizar el proceso de habilitación en el sistema de facturación electrónica para efectuar la remisión del mensaje electrónico de confirmación del recibido de la factura y de los bienes y/o servicios adquiridos cuando ello sea necesario. Lo antedicho, en aras de cumplir con la condición de validez que exige la ley para que sea posible soportar los costos o deducciones en el impuesto sobre la renta e impuestos descontables en IVA.</w:t>
      </w:r>
    </w:p>
    <w:p w14:paraId="3B5B70CA" w14:textId="77777777" w:rsidR="00FD3EA0" w:rsidRPr="00FD3EA0" w:rsidRDefault="00FD3EA0" w:rsidP="00FD3EA0">
      <w:pPr>
        <w:pStyle w:val="NormalWeb"/>
        <w:spacing w:before="0" w:beforeAutospacing="0" w:after="0" w:afterAutospacing="0" w:line="360" w:lineRule="auto"/>
        <w:jc w:val="both"/>
        <w:rPr>
          <w:color w:val="000000"/>
        </w:rPr>
      </w:pPr>
    </w:p>
    <w:p w14:paraId="4871D599" w14:textId="2AC3FA06" w:rsidR="00FD3EA0" w:rsidRPr="00FD3EA0" w:rsidRDefault="00FD3EA0" w:rsidP="00FD3EA0">
      <w:pPr>
        <w:pStyle w:val="NormalWeb"/>
        <w:spacing w:before="0" w:beforeAutospacing="0" w:after="0" w:afterAutospacing="0" w:line="360" w:lineRule="auto"/>
        <w:jc w:val="both"/>
        <w:rPr>
          <w:color w:val="000000"/>
        </w:rPr>
      </w:pPr>
      <w:r w:rsidRPr="00FD3EA0">
        <w:rPr>
          <w:color w:val="000000"/>
        </w:rPr>
        <w:t>En los anteriores términos se adiciona el Concepto Unificado No. 0106 del 19 de agosto de 2022 - Obligación de Facturar y Sistema de Factura Electrónica.</w:t>
      </w:r>
    </w:p>
    <w:p w14:paraId="521C378F" w14:textId="77777777" w:rsidR="00FD3EA0" w:rsidRPr="00FD3EA0" w:rsidRDefault="00FD3EA0" w:rsidP="00FD3EA0">
      <w:pPr>
        <w:pStyle w:val="NormalWeb"/>
        <w:spacing w:before="0" w:beforeAutospacing="0" w:after="0" w:afterAutospacing="0" w:line="360" w:lineRule="auto"/>
        <w:jc w:val="both"/>
        <w:rPr>
          <w:color w:val="000000"/>
        </w:rPr>
      </w:pPr>
      <w:r w:rsidRPr="00FD3EA0">
        <w:rPr>
          <w:color w:val="000000"/>
        </w:rPr>
        <w:t> </w:t>
      </w:r>
    </w:p>
    <w:p w14:paraId="1F8C45CA" w14:textId="77777777" w:rsidR="00FD3EA0" w:rsidRPr="00FD3EA0" w:rsidRDefault="00FD3EA0" w:rsidP="00FD3EA0">
      <w:pPr>
        <w:pStyle w:val="NormalWeb"/>
        <w:spacing w:before="0" w:beforeAutospacing="0" w:after="0" w:afterAutospacing="0" w:line="360" w:lineRule="auto"/>
        <w:jc w:val="both"/>
        <w:rPr>
          <w:color w:val="000000"/>
        </w:rPr>
      </w:pPr>
      <w:r w:rsidRPr="00FD3EA0">
        <w:rPr>
          <w:color w:val="000000"/>
        </w:rPr>
        <w:t>Atentamente,</w:t>
      </w:r>
    </w:p>
    <w:p w14:paraId="635E0BE1" w14:textId="77777777" w:rsidR="00FD3EA0" w:rsidRPr="00FD3EA0" w:rsidRDefault="00FD3EA0" w:rsidP="00FD3EA0">
      <w:pPr>
        <w:pStyle w:val="NormalWeb"/>
        <w:spacing w:before="0" w:beforeAutospacing="0" w:after="0" w:afterAutospacing="0" w:line="360" w:lineRule="auto"/>
        <w:jc w:val="both"/>
        <w:rPr>
          <w:color w:val="000000"/>
        </w:rPr>
      </w:pPr>
      <w:r w:rsidRPr="00FD3EA0">
        <w:rPr>
          <w:color w:val="000000"/>
        </w:rPr>
        <w:t> </w:t>
      </w:r>
    </w:p>
    <w:p w14:paraId="29FAAB1B" w14:textId="77777777" w:rsidR="00FD3EA0" w:rsidRPr="00FD3EA0" w:rsidRDefault="00FD3EA0" w:rsidP="00FD3EA0">
      <w:pPr>
        <w:pStyle w:val="NormalWeb"/>
        <w:spacing w:before="0" w:beforeAutospacing="0" w:after="0" w:afterAutospacing="0" w:line="360" w:lineRule="auto"/>
        <w:jc w:val="both"/>
        <w:rPr>
          <w:color w:val="000000"/>
        </w:rPr>
      </w:pPr>
      <w:r w:rsidRPr="00FD3EA0">
        <w:rPr>
          <w:color w:val="000000"/>
        </w:rPr>
        <w:t> </w:t>
      </w:r>
    </w:p>
    <w:p w14:paraId="1082E1A9" w14:textId="77777777" w:rsidR="00FD3EA0" w:rsidRPr="00FD3EA0" w:rsidRDefault="00FD3EA0" w:rsidP="00FD3EA0">
      <w:pPr>
        <w:pStyle w:val="NormalWeb"/>
        <w:spacing w:before="0" w:beforeAutospacing="0" w:after="0" w:afterAutospacing="0" w:line="360" w:lineRule="auto"/>
        <w:jc w:val="both"/>
        <w:rPr>
          <w:color w:val="000000"/>
        </w:rPr>
      </w:pPr>
      <w:r w:rsidRPr="00FD3EA0">
        <w:rPr>
          <w:b/>
          <w:bCs/>
          <w:color w:val="000000"/>
        </w:rPr>
        <w:t>NICOLÁS BERNAL ABELLA</w:t>
      </w:r>
    </w:p>
    <w:p w14:paraId="0817C260" w14:textId="77777777" w:rsidR="00FD3EA0" w:rsidRPr="00FD3EA0" w:rsidRDefault="00FD3EA0" w:rsidP="00FD3EA0">
      <w:pPr>
        <w:pStyle w:val="NormalWeb"/>
        <w:spacing w:before="0" w:beforeAutospacing="0" w:after="0" w:afterAutospacing="0" w:line="360" w:lineRule="auto"/>
        <w:jc w:val="both"/>
        <w:rPr>
          <w:color w:val="000000"/>
        </w:rPr>
      </w:pPr>
      <w:r w:rsidRPr="00FD3EA0">
        <w:rPr>
          <w:color w:val="000000"/>
        </w:rPr>
        <w:t>Subdirector de Normativa y Doctrina (E)</w:t>
      </w:r>
    </w:p>
    <w:p w14:paraId="12889646" w14:textId="77777777" w:rsidR="00FD3EA0" w:rsidRPr="00FD3EA0" w:rsidRDefault="00FD3EA0" w:rsidP="00FD3EA0">
      <w:pPr>
        <w:pStyle w:val="NormalWeb"/>
        <w:spacing w:before="0" w:beforeAutospacing="0" w:after="0" w:afterAutospacing="0" w:line="360" w:lineRule="auto"/>
        <w:jc w:val="both"/>
        <w:rPr>
          <w:color w:val="000000"/>
        </w:rPr>
      </w:pPr>
      <w:r w:rsidRPr="00FD3EA0">
        <w:rPr>
          <w:color w:val="000000"/>
        </w:rPr>
        <w:t>Dirección de Gestión Jurídica</w:t>
      </w:r>
    </w:p>
    <w:p w14:paraId="1CF9B427" w14:textId="77777777" w:rsidR="00FD3EA0" w:rsidRPr="00FD3EA0" w:rsidRDefault="00FD3EA0" w:rsidP="00FD3EA0">
      <w:pPr>
        <w:pStyle w:val="NormalWeb"/>
        <w:spacing w:before="0" w:beforeAutospacing="0" w:after="0" w:afterAutospacing="0" w:line="360" w:lineRule="auto"/>
        <w:jc w:val="both"/>
        <w:rPr>
          <w:color w:val="000000"/>
        </w:rPr>
      </w:pPr>
      <w:r w:rsidRPr="00FD3EA0">
        <w:rPr>
          <w:color w:val="000000"/>
        </w:rPr>
        <w:t>UAE- Dirección de Impuestos y Aduanas Nacionales</w:t>
      </w:r>
    </w:p>
    <w:p w14:paraId="33A4A8AB" w14:textId="77777777" w:rsidR="007F5CC8" w:rsidRPr="00FD3EA0" w:rsidRDefault="007F5CC8" w:rsidP="00FD3EA0">
      <w:pPr>
        <w:spacing w:line="360" w:lineRule="auto"/>
        <w:rPr>
          <w:rFonts w:cs="Times New Roman"/>
          <w:szCs w:val="24"/>
        </w:rPr>
      </w:pPr>
    </w:p>
    <w:sectPr w:rsidR="007F5CC8" w:rsidRPr="00FD3EA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273A"/>
    <w:multiLevelType w:val="multilevel"/>
    <w:tmpl w:val="51EE7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77CDA"/>
    <w:multiLevelType w:val="multilevel"/>
    <w:tmpl w:val="0C3E0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05801"/>
    <w:multiLevelType w:val="multilevel"/>
    <w:tmpl w:val="D602A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15B5B"/>
    <w:multiLevelType w:val="multilevel"/>
    <w:tmpl w:val="E9EED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068000">
    <w:abstractNumId w:val="3"/>
    <w:lvlOverride w:ilvl="0">
      <w:startOverride w:val="1"/>
    </w:lvlOverride>
  </w:num>
  <w:num w:numId="2" w16cid:durableId="1855607150">
    <w:abstractNumId w:val="1"/>
    <w:lvlOverride w:ilvl="0">
      <w:startOverride w:val="1"/>
    </w:lvlOverride>
  </w:num>
  <w:num w:numId="3" w16cid:durableId="1239946193">
    <w:abstractNumId w:val="0"/>
    <w:lvlOverride w:ilvl="0">
      <w:startOverride w:val="1"/>
    </w:lvlOverride>
  </w:num>
  <w:num w:numId="4" w16cid:durableId="55778475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A0"/>
    <w:rsid w:val="000F3837"/>
    <w:rsid w:val="001E311E"/>
    <w:rsid w:val="00206D9D"/>
    <w:rsid w:val="00434AE6"/>
    <w:rsid w:val="007F5CC8"/>
    <w:rsid w:val="008779BE"/>
    <w:rsid w:val="00EB5ADB"/>
    <w:rsid w:val="00FD3EA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954C"/>
  <w15:chartTrackingRefBased/>
  <w15:docId w15:val="{14085485-E6CF-4A33-82C4-0DFBEDE2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3EA0"/>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2427">
      <w:bodyDiv w:val="1"/>
      <w:marLeft w:val="0"/>
      <w:marRight w:val="0"/>
      <w:marTop w:val="0"/>
      <w:marBottom w:val="0"/>
      <w:divBdr>
        <w:top w:val="none" w:sz="0" w:space="0" w:color="auto"/>
        <w:left w:val="none" w:sz="0" w:space="0" w:color="auto"/>
        <w:bottom w:val="none" w:sz="0" w:space="0" w:color="auto"/>
        <w:right w:val="none" w:sz="0" w:space="0" w:color="auto"/>
      </w:divBdr>
    </w:div>
    <w:div w:id="1381057527">
      <w:bodyDiv w:val="1"/>
      <w:marLeft w:val="0"/>
      <w:marRight w:val="0"/>
      <w:marTop w:val="0"/>
      <w:marBottom w:val="0"/>
      <w:divBdr>
        <w:top w:val="none" w:sz="0" w:space="0" w:color="auto"/>
        <w:left w:val="none" w:sz="0" w:space="0" w:color="auto"/>
        <w:bottom w:val="none" w:sz="0" w:space="0" w:color="auto"/>
        <w:right w:val="none" w:sz="0" w:space="0" w:color="auto"/>
      </w:divBdr>
    </w:div>
    <w:div w:id="15164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hyperlink" Target="https://www.ceta.org.co/html/vista_de_un_articulo.asp?Norma=758" TargetMode="External"/><Relationship Id="rId3" Type="http://schemas.openxmlformats.org/officeDocument/2006/relationships/settings" Target="settings.xm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758" TargetMode="External"/><Relationship Id="rId11" Type="http://schemas.openxmlformats.org/officeDocument/2006/relationships/hyperlink" Target="https://www.ceta.org.co/html/vista_de_un_articulo.asp?Norma=148" TargetMode="External"/><Relationship Id="rId5" Type="http://schemas.openxmlformats.org/officeDocument/2006/relationships/hyperlink" Target="https://www.ceta.org.co/html/vista_de_un_articulo.asp?Norma=758" TargetMode="External"/><Relationship Id="rId15" Type="http://schemas.openxmlformats.org/officeDocument/2006/relationships/theme" Target="theme/theme1.xml"/><Relationship Id="rId10" Type="http://schemas.openxmlformats.org/officeDocument/2006/relationships/hyperlink" Target="https://www.ceta.org.co/html/vista_de_un_articulo.asp?Norma=758"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5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2655</Words>
  <Characters>14608</Characters>
  <Application>Microsoft Office Word</Application>
  <DocSecurity>0</DocSecurity>
  <Lines>121</Lines>
  <Paragraphs>34</Paragraphs>
  <ScaleCrop>false</ScaleCrop>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2022-10-27T21:11:00Z</dcterms:created>
  <dcterms:modified xsi:type="dcterms:W3CDTF">2022-10-28T16:40:00Z</dcterms:modified>
</cp:coreProperties>
</file>