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D4D" w:rsidRPr="00AC0D4D" w:rsidRDefault="00AC0D4D" w:rsidP="00AC0D4D">
      <w:pPr>
        <w:spacing w:line="240" w:lineRule="auto"/>
        <w:rPr>
          <w:rFonts w:eastAsia="Times New Roman" w:cs="Times New Roman"/>
          <w:szCs w:val="24"/>
          <w:lang w:val="es-CO" w:eastAsia="es-ES"/>
        </w:rPr>
      </w:pPr>
    </w:p>
    <w:p w:rsidR="00AC0D4D" w:rsidRPr="00AC0D4D" w:rsidRDefault="00AC0D4D" w:rsidP="00AC0D4D">
      <w:pPr>
        <w:spacing w:line="240" w:lineRule="auto"/>
        <w:rPr>
          <w:rFonts w:eastAsia="Times New Roman" w:cs="Times New Roman"/>
          <w:szCs w:val="24"/>
          <w:lang w:val="es-CO" w:eastAsia="es-ES"/>
        </w:rPr>
      </w:pPr>
    </w:p>
    <w:p w:rsidR="00AC0D4D" w:rsidRPr="00AC0D4D" w:rsidRDefault="00AC0D4D" w:rsidP="00AC0D4D">
      <w:pPr>
        <w:spacing w:line="240" w:lineRule="auto"/>
        <w:rPr>
          <w:rFonts w:eastAsia="Times New Roman" w:cs="Times New Roman"/>
          <w:szCs w:val="24"/>
          <w:lang w:val="es-CO" w:eastAsia="es-ES"/>
        </w:rPr>
      </w:pPr>
    </w:p>
    <w:p w:rsidR="00AC0D4D" w:rsidRPr="00AC0D4D" w:rsidRDefault="00AC0D4D" w:rsidP="00AC0D4D">
      <w:pPr>
        <w:spacing w:line="240" w:lineRule="auto"/>
        <w:jc w:val="center"/>
        <w:rPr>
          <w:rFonts w:eastAsia="Times New Roman" w:cs="Times New Roman"/>
          <w:szCs w:val="24"/>
          <w:lang w:eastAsia="es-ES"/>
        </w:rPr>
      </w:pPr>
      <w:r w:rsidRPr="00AC0D4D">
        <w:rPr>
          <w:rFonts w:eastAsia="Times New Roman" w:cs="Times New Roman"/>
          <w:b/>
          <w:bCs/>
          <w:szCs w:val="24"/>
          <w:lang w:val="es-CO" w:eastAsia="es-ES"/>
        </w:rPr>
        <w:t xml:space="preserve">OFICIO </w:t>
      </w:r>
      <w:proofErr w:type="spellStart"/>
      <w:r w:rsidRPr="00AC0D4D">
        <w:rPr>
          <w:rFonts w:eastAsia="Times New Roman" w:cs="Times New Roman"/>
          <w:b/>
          <w:bCs/>
          <w:szCs w:val="24"/>
          <w:lang w:val="es-CO" w:eastAsia="es-ES"/>
        </w:rPr>
        <w:t>Nº</w:t>
      </w:r>
      <w:proofErr w:type="spellEnd"/>
      <w:r w:rsidRPr="00AC0D4D">
        <w:rPr>
          <w:rFonts w:eastAsia="Times New Roman" w:cs="Times New Roman"/>
          <w:b/>
          <w:bCs/>
          <w:szCs w:val="24"/>
          <w:lang w:val="es-CO" w:eastAsia="es-ES"/>
        </w:rPr>
        <w:t xml:space="preserve"> 0074 [001396]</w:t>
      </w:r>
    </w:p>
    <w:p w:rsidR="00AC0D4D" w:rsidRPr="00AC0D4D" w:rsidRDefault="00AC0D4D" w:rsidP="00AC0D4D">
      <w:pPr>
        <w:spacing w:line="240" w:lineRule="auto"/>
        <w:jc w:val="center"/>
        <w:rPr>
          <w:rFonts w:eastAsia="Times New Roman" w:cs="Times New Roman"/>
          <w:szCs w:val="24"/>
          <w:lang w:eastAsia="es-ES"/>
        </w:rPr>
      </w:pPr>
      <w:r w:rsidRPr="00AC0D4D">
        <w:rPr>
          <w:rFonts w:eastAsia="Times New Roman" w:cs="Times New Roman"/>
          <w:b/>
          <w:bCs/>
          <w:szCs w:val="24"/>
          <w:lang w:val="es-CO" w:eastAsia="es-ES"/>
        </w:rPr>
        <w:t>24-01-2020</w:t>
      </w:r>
    </w:p>
    <w:p w:rsidR="00AC0D4D" w:rsidRPr="00AC0D4D" w:rsidRDefault="00AC0D4D" w:rsidP="00AC0D4D">
      <w:pPr>
        <w:spacing w:line="240" w:lineRule="auto"/>
        <w:jc w:val="center"/>
        <w:rPr>
          <w:rFonts w:eastAsia="Times New Roman" w:cs="Times New Roman"/>
          <w:szCs w:val="24"/>
          <w:lang w:eastAsia="es-ES"/>
        </w:rPr>
      </w:pPr>
      <w:r w:rsidRPr="00AC0D4D">
        <w:rPr>
          <w:rFonts w:eastAsia="Times New Roman" w:cs="Times New Roman"/>
          <w:b/>
          <w:bCs/>
          <w:szCs w:val="24"/>
          <w:lang w:val="es-CO" w:eastAsia="es-ES"/>
        </w:rPr>
        <w:t>DIAN</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Subdirección de Gestión Normativa y Doctrina</w:t>
      </w:r>
      <w:bookmarkStart w:id="0" w:name="_GoBack"/>
      <w:bookmarkEnd w:id="0"/>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100208221-000074</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Bogotá, D.C.</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proofErr w:type="spellStart"/>
      <w:r w:rsidRPr="00AC0D4D">
        <w:rPr>
          <w:rFonts w:eastAsia="Times New Roman" w:cs="Times New Roman"/>
          <w:b/>
          <w:bCs/>
          <w:szCs w:val="24"/>
          <w:lang w:val="es-CO" w:eastAsia="es-ES"/>
        </w:rPr>
        <w:t>Ref</w:t>
      </w:r>
      <w:proofErr w:type="spellEnd"/>
      <w:r w:rsidRPr="00AC0D4D">
        <w:rPr>
          <w:rFonts w:eastAsia="Times New Roman" w:cs="Times New Roman"/>
          <w:b/>
          <w:bCs/>
          <w:szCs w:val="24"/>
          <w:lang w:val="es-CO" w:eastAsia="es-ES"/>
        </w:rPr>
        <w:t>:</w:t>
      </w:r>
      <w:r w:rsidRPr="00AC0D4D">
        <w:rPr>
          <w:rFonts w:eastAsia="Times New Roman" w:cs="Times New Roman"/>
          <w:szCs w:val="24"/>
          <w:lang w:val="es-CO" w:eastAsia="es-ES"/>
        </w:rPr>
        <w:t> Radicado 100107233 del 10/12/2019</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969"/>
        <w:gridCol w:w="276"/>
        <w:gridCol w:w="276"/>
        <w:gridCol w:w="6042"/>
      </w:tblGrid>
      <w:tr w:rsidR="00AC0D4D" w:rsidRPr="00AC0D4D" w:rsidTr="00AC0D4D">
        <w:tc>
          <w:tcPr>
            <w:tcW w:w="0" w:type="auto"/>
            <w:tcBorders>
              <w:top w:val="nil"/>
              <w:left w:val="nil"/>
              <w:bottom w:val="nil"/>
              <w:right w:val="nil"/>
            </w:tcBorders>
            <w:shd w:val="clear" w:color="auto" w:fill="auto"/>
            <w:tcMar>
              <w:top w:w="0" w:type="dxa"/>
              <w:left w:w="108" w:type="dxa"/>
              <w:bottom w:w="0" w:type="dxa"/>
              <w:right w:w="108" w:type="dxa"/>
            </w:tcMar>
            <w:hideMark/>
          </w:tcPr>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Impuesto sobre la Renta y Complementarios</w:t>
            </w:r>
          </w:p>
        </w:tc>
      </w:tr>
      <w:tr w:rsidR="00AC0D4D" w:rsidRPr="00AC0D4D" w:rsidTr="00AC0D4D">
        <w:tc>
          <w:tcPr>
            <w:tcW w:w="0" w:type="auto"/>
            <w:tcBorders>
              <w:top w:val="nil"/>
              <w:left w:val="nil"/>
              <w:bottom w:val="nil"/>
              <w:right w:val="nil"/>
            </w:tcBorders>
            <w:shd w:val="clear" w:color="auto" w:fill="auto"/>
            <w:tcMar>
              <w:top w:w="0" w:type="dxa"/>
              <w:left w:w="108" w:type="dxa"/>
              <w:bottom w:w="0" w:type="dxa"/>
              <w:right w:w="108" w:type="dxa"/>
            </w:tcMar>
            <w:hideMark/>
          </w:tcPr>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b/>
                <w:bCs/>
                <w:szCs w:val="24"/>
                <w:lang w:val="es-CO" w:eastAsia="es-ES"/>
              </w:rPr>
              <w:t>Descriptores</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AUTORRETENCIÓN</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Dividendos</w:t>
            </w:r>
          </w:p>
        </w:tc>
      </w:tr>
      <w:tr w:rsidR="00AC0D4D" w:rsidRPr="00AC0D4D" w:rsidTr="00AC0D4D">
        <w:tc>
          <w:tcPr>
            <w:tcW w:w="0" w:type="auto"/>
            <w:tcBorders>
              <w:top w:val="nil"/>
              <w:left w:val="nil"/>
              <w:bottom w:val="nil"/>
              <w:right w:val="nil"/>
            </w:tcBorders>
            <w:shd w:val="clear" w:color="auto" w:fill="auto"/>
            <w:tcMar>
              <w:top w:w="0" w:type="dxa"/>
              <w:left w:w="108" w:type="dxa"/>
              <w:bottom w:w="0" w:type="dxa"/>
              <w:right w:w="108" w:type="dxa"/>
            </w:tcMar>
            <w:hideMark/>
          </w:tcPr>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b/>
                <w:bCs/>
                <w:szCs w:val="24"/>
                <w:lang w:val="es-CO" w:eastAsia="es-ES"/>
              </w:rPr>
              <w:t>Fuentes formales</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Artículos </w:t>
            </w:r>
            <w:hyperlink r:id="rId4" w:tooltip="Estatuto Tributario CETA" w:history="1">
              <w:r w:rsidRPr="00AC0D4D">
                <w:rPr>
                  <w:rFonts w:eastAsia="Times New Roman" w:cs="Times New Roman"/>
                  <w:szCs w:val="24"/>
                  <w:u w:val="single"/>
                  <w:lang w:val="es-CO" w:eastAsia="es-ES"/>
                </w:rPr>
                <w:t>49</w:t>
              </w:r>
            </w:hyperlink>
            <w:r w:rsidRPr="00AC0D4D">
              <w:rPr>
                <w:rFonts w:eastAsia="Times New Roman" w:cs="Times New Roman"/>
                <w:szCs w:val="24"/>
                <w:lang w:val="es-CO" w:eastAsia="es-ES"/>
              </w:rPr>
              <w:t> y </w:t>
            </w:r>
            <w:hyperlink r:id="rId5" w:tooltip="Estatuto Tributario CETA" w:history="1">
              <w:r w:rsidRPr="00AC0D4D">
                <w:rPr>
                  <w:rFonts w:eastAsia="Times New Roman" w:cs="Times New Roman"/>
                  <w:szCs w:val="24"/>
                  <w:u w:val="single"/>
                  <w:lang w:val="es-CO" w:eastAsia="es-ES"/>
                </w:rPr>
                <w:t>242-1</w:t>
              </w:r>
            </w:hyperlink>
            <w:r w:rsidRPr="00AC0D4D">
              <w:rPr>
                <w:rFonts w:eastAsia="Times New Roman" w:cs="Times New Roman"/>
                <w:szCs w:val="24"/>
                <w:lang w:val="es-CO" w:eastAsia="es-ES"/>
              </w:rPr>
              <w:t> del Estatuto Tributario</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Artículos 1.2.6.6. y siguientes del Decreto No. 1625 de 2016</w:t>
            </w:r>
          </w:p>
        </w:tc>
      </w:tr>
    </w:tbl>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Cordial saludo señora Luz Astrid.</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Mediante escrito radicado 100107233 del 10 de diciembre de dos mil diecinueve (2019), esta Subdirección recibió una consulta por medio de la cual se solicita resolver la siguiente inquietud:</w:t>
      </w:r>
    </w:p>
    <w:p w:rsidR="00AC0D4D" w:rsidRPr="00AC0D4D" w:rsidRDefault="00AC0D4D" w:rsidP="00AC0D4D">
      <w:pPr>
        <w:spacing w:line="240" w:lineRule="auto"/>
        <w:ind w:left="284"/>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ind w:left="284"/>
        <w:rPr>
          <w:rFonts w:eastAsia="Times New Roman" w:cs="Times New Roman"/>
          <w:szCs w:val="24"/>
          <w:lang w:eastAsia="es-ES"/>
        </w:rPr>
      </w:pPr>
      <w:r w:rsidRPr="00AC0D4D">
        <w:rPr>
          <w:rFonts w:eastAsia="Times New Roman" w:cs="Times New Roman"/>
          <w:i/>
          <w:iCs/>
          <w:szCs w:val="24"/>
          <w:lang w:val="es-CO" w:eastAsia="es-ES"/>
        </w:rPr>
        <w:t>“¿La sociedad que recibe ingresos por esos dividendos decretados, estaría obligada a practicar autorretención en la renta de que trata el Decreto 2201 de 2016?”</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Sobre el particular, las consideraciones tributarias de este Despacho son las siguientes:</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ind w:left="284"/>
        <w:rPr>
          <w:rFonts w:eastAsia="Times New Roman" w:cs="Times New Roman"/>
          <w:szCs w:val="24"/>
          <w:lang w:eastAsia="es-ES"/>
        </w:rPr>
      </w:pPr>
      <w:r w:rsidRPr="00AC0D4D">
        <w:rPr>
          <w:rFonts w:eastAsia="Times New Roman" w:cs="Times New Roman"/>
          <w:b/>
          <w:bCs/>
          <w:i/>
          <w:iCs/>
          <w:szCs w:val="24"/>
          <w:lang w:val="es-CO" w:eastAsia="es-ES"/>
        </w:rPr>
        <w:t>“</w:t>
      </w:r>
      <w:hyperlink r:id="rId6" w:tooltip="Estatuto Tributario CETA" w:history="1">
        <w:r w:rsidRPr="00AC0D4D">
          <w:rPr>
            <w:rFonts w:eastAsia="Times New Roman" w:cs="Times New Roman"/>
            <w:b/>
            <w:bCs/>
            <w:i/>
            <w:iCs/>
            <w:szCs w:val="24"/>
            <w:u w:val="single"/>
            <w:lang w:val="es-CO" w:eastAsia="es-ES"/>
          </w:rPr>
          <w:t>ARTÍCULO 242-1</w:t>
        </w:r>
      </w:hyperlink>
      <w:r w:rsidRPr="00AC0D4D">
        <w:rPr>
          <w:rFonts w:eastAsia="Times New Roman" w:cs="Times New Roman"/>
          <w:b/>
          <w:bCs/>
          <w:i/>
          <w:iCs/>
          <w:szCs w:val="24"/>
          <w:lang w:val="es-CO" w:eastAsia="es-ES"/>
        </w:rPr>
        <w:t>. TARIFA ESPECIAL PARA DIVIDENDOS O PARTICIPACIONES RECIBIDAS POR SOCIEDADES NACIONALES. </w:t>
      </w:r>
      <w:r w:rsidRPr="00AC0D4D">
        <w:rPr>
          <w:rFonts w:eastAsia="Times New Roman" w:cs="Times New Roman"/>
          <w:i/>
          <w:iCs/>
          <w:szCs w:val="24"/>
          <w:lang w:val="es-CO" w:eastAsia="es-ES"/>
        </w:rPr>
        <w:t>Los dividendos y participaciones pagados o abonados en cuenta a sociedades nacionales, </w:t>
      </w:r>
      <w:r w:rsidRPr="00AC0D4D">
        <w:rPr>
          <w:rFonts w:eastAsia="Times New Roman" w:cs="Times New Roman"/>
          <w:b/>
          <w:bCs/>
          <w:i/>
          <w:iCs/>
          <w:szCs w:val="24"/>
          <w:lang w:val="es-CO" w:eastAsia="es-ES"/>
        </w:rPr>
        <w:t>provenientes de distribución de utilidades que hubieren sido consideradas como ingreso no constitutivo de renta ni ganancia ocasional conforme a lo dispuesto en el numeral 3 del </w:t>
      </w:r>
      <w:hyperlink r:id="rId7" w:tooltip="Estatuto Tributario CETA" w:history="1">
        <w:r w:rsidRPr="00AC0D4D">
          <w:rPr>
            <w:rFonts w:eastAsia="Times New Roman" w:cs="Times New Roman"/>
            <w:b/>
            <w:bCs/>
            <w:i/>
            <w:iCs/>
            <w:szCs w:val="24"/>
            <w:u w:val="single"/>
            <w:lang w:val="es-CO" w:eastAsia="es-ES"/>
          </w:rPr>
          <w:t>artículo 49</w:t>
        </w:r>
      </w:hyperlink>
      <w:r w:rsidRPr="00AC0D4D">
        <w:rPr>
          <w:rFonts w:eastAsia="Times New Roman" w:cs="Times New Roman"/>
          <w:b/>
          <w:bCs/>
          <w:i/>
          <w:iCs/>
          <w:szCs w:val="24"/>
          <w:lang w:val="es-CO" w:eastAsia="es-ES"/>
        </w:rPr>
        <w:t> de este Estatuto</w:t>
      </w:r>
      <w:r w:rsidRPr="00AC0D4D">
        <w:rPr>
          <w:rFonts w:eastAsia="Times New Roman" w:cs="Times New Roman"/>
          <w:i/>
          <w:iCs/>
          <w:szCs w:val="24"/>
          <w:lang w:val="es-CO" w:eastAsia="es-ES"/>
        </w:rPr>
        <w:t>, estarán sujetas a la tarifa del siete y medio por ciento (7,5%) </w:t>
      </w:r>
      <w:r w:rsidRPr="00AC0D4D">
        <w:rPr>
          <w:rFonts w:eastAsia="Times New Roman" w:cs="Times New Roman"/>
          <w:b/>
          <w:bCs/>
          <w:i/>
          <w:iCs/>
          <w:szCs w:val="24"/>
          <w:lang w:val="es-CO" w:eastAsia="es-ES"/>
        </w:rPr>
        <w:t>a título de retención en la fuente sobre la renta</w:t>
      </w:r>
      <w:r w:rsidRPr="00AC0D4D">
        <w:rPr>
          <w:rFonts w:eastAsia="Times New Roman" w:cs="Times New Roman"/>
          <w:i/>
          <w:iCs/>
          <w:szCs w:val="24"/>
          <w:lang w:val="es-CO" w:eastAsia="es-ES"/>
        </w:rPr>
        <w:t>, que será trasladable e imputable a la persona natural residente o inversionista residente en el exterior.</w:t>
      </w:r>
    </w:p>
    <w:p w:rsidR="00AC0D4D" w:rsidRPr="00AC0D4D" w:rsidRDefault="00AC0D4D" w:rsidP="00AC0D4D">
      <w:pPr>
        <w:spacing w:line="240" w:lineRule="auto"/>
        <w:ind w:left="284"/>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ind w:left="284"/>
        <w:rPr>
          <w:rFonts w:eastAsia="Times New Roman" w:cs="Times New Roman"/>
          <w:szCs w:val="24"/>
          <w:lang w:eastAsia="es-ES"/>
        </w:rPr>
      </w:pPr>
      <w:r w:rsidRPr="00AC0D4D">
        <w:rPr>
          <w:rFonts w:eastAsia="Times New Roman" w:cs="Times New Roman"/>
          <w:i/>
          <w:iCs/>
          <w:szCs w:val="24"/>
          <w:lang w:val="es-CO" w:eastAsia="es-ES"/>
        </w:rPr>
        <w:t>Los dividendos y participaciones pagados o abonados en cuenta a sociedades nacionales, provenientes de distribuciones de utilidades gravadas conforme a lo dispuesto en el parágrafo 2 del </w:t>
      </w:r>
      <w:hyperlink r:id="rId8" w:tooltip="Estatuto Tributario CETA" w:history="1">
        <w:r w:rsidRPr="00AC0D4D">
          <w:rPr>
            <w:rFonts w:eastAsia="Times New Roman" w:cs="Times New Roman"/>
            <w:i/>
            <w:iCs/>
            <w:szCs w:val="24"/>
            <w:u w:val="single"/>
            <w:lang w:val="es-CO" w:eastAsia="es-ES"/>
          </w:rPr>
          <w:t>artículo 49</w:t>
        </w:r>
      </w:hyperlink>
      <w:r w:rsidRPr="00AC0D4D">
        <w:rPr>
          <w:rFonts w:eastAsia="Times New Roman" w:cs="Times New Roman"/>
          <w:i/>
          <w:iCs/>
          <w:szCs w:val="24"/>
          <w:lang w:val="es-CO" w:eastAsia="es-ES"/>
        </w:rPr>
        <w:t> del Estatuto Tributario, estarán sujetos a la tarifa señalada en el </w:t>
      </w:r>
      <w:hyperlink r:id="rId9" w:tooltip="Estatuto Tributario CETA" w:history="1">
        <w:r w:rsidRPr="00AC0D4D">
          <w:rPr>
            <w:rFonts w:eastAsia="Times New Roman" w:cs="Times New Roman"/>
            <w:i/>
            <w:iCs/>
            <w:szCs w:val="24"/>
            <w:u w:val="single"/>
            <w:lang w:val="es-CO" w:eastAsia="es-ES"/>
          </w:rPr>
          <w:t>artículo 240</w:t>
        </w:r>
      </w:hyperlink>
      <w:r w:rsidRPr="00AC0D4D">
        <w:rPr>
          <w:rFonts w:eastAsia="Times New Roman" w:cs="Times New Roman"/>
          <w:i/>
          <w:iCs/>
          <w:szCs w:val="24"/>
          <w:lang w:val="es-CO" w:eastAsia="es-ES"/>
        </w:rPr>
        <w:t> del Estatuto Tributario, según el período gravable en que se paguen o abonen en cuenta, </w:t>
      </w:r>
      <w:r w:rsidRPr="00AC0D4D">
        <w:rPr>
          <w:rFonts w:eastAsia="Times New Roman" w:cs="Times New Roman"/>
          <w:b/>
          <w:bCs/>
          <w:i/>
          <w:iCs/>
          <w:szCs w:val="24"/>
          <w:lang w:val="es-CO" w:eastAsia="es-ES"/>
        </w:rPr>
        <w:t>caso en el cual la retención en la fuente señalada en el inciso anterior se aplicará una vez disminuido este impuesto</w:t>
      </w:r>
      <w:r w:rsidRPr="00AC0D4D">
        <w:rPr>
          <w:rFonts w:eastAsia="Times New Roman" w:cs="Times New Roman"/>
          <w:i/>
          <w:iCs/>
          <w:szCs w:val="24"/>
          <w:lang w:val="es-CO" w:eastAsia="es-ES"/>
        </w:rPr>
        <w:t>. A esta misma tarifa estarán gravados los dividendos y participaciones recibidos de sociedades y entidades extranjeras</w:t>
      </w:r>
      <w:r w:rsidRPr="00AC0D4D">
        <w:rPr>
          <w:rFonts w:eastAsia="Times New Roman" w:cs="Times New Roman"/>
          <w:szCs w:val="24"/>
          <w:lang w:val="es-CO" w:eastAsia="es-ES"/>
        </w:rPr>
        <w:t>.</w:t>
      </w:r>
    </w:p>
    <w:p w:rsidR="00AC0D4D" w:rsidRPr="00AC0D4D" w:rsidRDefault="00AC0D4D" w:rsidP="00AC0D4D">
      <w:pPr>
        <w:spacing w:line="240" w:lineRule="auto"/>
        <w:ind w:left="284"/>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ind w:left="284"/>
        <w:rPr>
          <w:rFonts w:eastAsia="Times New Roman" w:cs="Times New Roman"/>
          <w:szCs w:val="24"/>
          <w:lang w:eastAsia="es-ES"/>
        </w:rPr>
      </w:pPr>
      <w:r w:rsidRPr="00AC0D4D">
        <w:rPr>
          <w:rFonts w:eastAsia="Times New Roman" w:cs="Times New Roman"/>
          <w:b/>
          <w:bCs/>
          <w:i/>
          <w:iCs/>
          <w:szCs w:val="24"/>
          <w:lang w:val="es-CO" w:eastAsia="es-ES"/>
        </w:rPr>
        <w:t>PARÁGRAFO 1o.</w:t>
      </w:r>
      <w:r w:rsidRPr="00AC0D4D">
        <w:rPr>
          <w:rFonts w:eastAsia="Times New Roman" w:cs="Times New Roman"/>
          <w:i/>
          <w:iCs/>
          <w:szCs w:val="24"/>
          <w:lang w:val="es-CO" w:eastAsia="es-ES"/>
        </w:rPr>
        <w:t> La </w:t>
      </w:r>
      <w:r w:rsidRPr="00AC0D4D">
        <w:rPr>
          <w:rFonts w:eastAsia="Times New Roman" w:cs="Times New Roman"/>
          <w:b/>
          <w:bCs/>
          <w:i/>
          <w:iCs/>
          <w:szCs w:val="24"/>
          <w:lang w:val="es-CO" w:eastAsia="es-ES"/>
        </w:rPr>
        <w:t>retención en la fuente</w:t>
      </w:r>
      <w:r w:rsidRPr="00AC0D4D">
        <w:rPr>
          <w:rFonts w:eastAsia="Times New Roman" w:cs="Times New Roman"/>
          <w:i/>
          <w:iCs/>
          <w:szCs w:val="24"/>
          <w:lang w:val="es-CO" w:eastAsia="es-ES"/>
        </w:rPr>
        <w:t> será calculada sobre el valor bruto de los pagos o abonos en cuenta por concepto de dividendos o participaciones.</w:t>
      </w:r>
    </w:p>
    <w:p w:rsidR="00AC0D4D" w:rsidRPr="00AC0D4D" w:rsidRDefault="00AC0D4D" w:rsidP="00AC0D4D">
      <w:pPr>
        <w:spacing w:line="240" w:lineRule="auto"/>
        <w:ind w:left="284"/>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ind w:left="284"/>
        <w:rPr>
          <w:rFonts w:eastAsia="Times New Roman" w:cs="Times New Roman"/>
          <w:szCs w:val="24"/>
          <w:lang w:eastAsia="es-ES"/>
        </w:rPr>
      </w:pPr>
      <w:r w:rsidRPr="00AC0D4D">
        <w:rPr>
          <w:rFonts w:eastAsia="Times New Roman" w:cs="Times New Roman"/>
          <w:i/>
          <w:iCs/>
          <w:szCs w:val="24"/>
          <w:lang w:val="es-CO" w:eastAsia="es-ES"/>
        </w:rPr>
        <w:lastRenderedPageBreak/>
        <w:t>La </w:t>
      </w:r>
      <w:r w:rsidRPr="00AC0D4D">
        <w:rPr>
          <w:rFonts w:eastAsia="Times New Roman" w:cs="Times New Roman"/>
          <w:b/>
          <w:bCs/>
          <w:i/>
          <w:iCs/>
          <w:szCs w:val="24"/>
          <w:lang w:val="es-CO" w:eastAsia="es-ES"/>
        </w:rPr>
        <w:t>retención en la fuente</w:t>
      </w:r>
      <w:r w:rsidRPr="00AC0D4D">
        <w:rPr>
          <w:rFonts w:eastAsia="Times New Roman" w:cs="Times New Roman"/>
          <w:i/>
          <w:iCs/>
          <w:szCs w:val="24"/>
          <w:lang w:val="es-CO" w:eastAsia="es-ES"/>
        </w:rPr>
        <w:t> a la que se refiere este artículo solo se practica en la sociedad nacional que reciba los dividendos por primera vez, y el crédito será trasladable hasta el beneficiario final persona natural residente o inversionista residente en el exterior.</w:t>
      </w:r>
    </w:p>
    <w:p w:rsidR="00AC0D4D" w:rsidRPr="00AC0D4D" w:rsidRDefault="00AC0D4D" w:rsidP="00AC0D4D">
      <w:pPr>
        <w:spacing w:line="240" w:lineRule="auto"/>
        <w:ind w:left="284"/>
        <w:rPr>
          <w:rFonts w:eastAsia="Times New Roman" w:cs="Times New Roman"/>
          <w:szCs w:val="24"/>
          <w:lang w:eastAsia="es-ES"/>
        </w:rPr>
      </w:pPr>
      <w:r w:rsidRPr="00AC0D4D">
        <w:rPr>
          <w:rFonts w:eastAsia="Times New Roman" w:cs="Times New Roman"/>
          <w:i/>
          <w:iCs/>
          <w:szCs w:val="24"/>
          <w:lang w:val="es-CO" w:eastAsia="es-ES"/>
        </w:rPr>
        <w:t> </w:t>
      </w:r>
    </w:p>
    <w:p w:rsidR="00AC0D4D" w:rsidRPr="00AC0D4D" w:rsidRDefault="00AC0D4D" w:rsidP="00AC0D4D">
      <w:pPr>
        <w:spacing w:line="240" w:lineRule="auto"/>
        <w:ind w:left="284"/>
        <w:rPr>
          <w:rFonts w:eastAsia="Times New Roman" w:cs="Times New Roman"/>
          <w:szCs w:val="24"/>
          <w:lang w:eastAsia="es-ES"/>
        </w:rPr>
      </w:pPr>
      <w:r w:rsidRPr="00AC0D4D">
        <w:rPr>
          <w:rFonts w:eastAsia="Times New Roman" w:cs="Times New Roman"/>
          <w:b/>
          <w:bCs/>
          <w:i/>
          <w:iCs/>
          <w:szCs w:val="24"/>
          <w:lang w:val="es-CO" w:eastAsia="es-ES"/>
        </w:rPr>
        <w:t>PARÁGRAFO 2o.</w:t>
      </w:r>
      <w:r w:rsidRPr="00AC0D4D">
        <w:rPr>
          <w:rFonts w:eastAsia="Times New Roman" w:cs="Times New Roman"/>
          <w:i/>
          <w:iCs/>
          <w:szCs w:val="24"/>
          <w:lang w:val="es-CO" w:eastAsia="es-ES"/>
        </w:rPr>
        <w:t> Las sociedades bajo el régimen CHC del impuesto sobre la renta, incluyendo las entidades públicas descentralizadas, no están sujetas a la </w:t>
      </w:r>
      <w:r w:rsidRPr="00AC0D4D">
        <w:rPr>
          <w:rFonts w:eastAsia="Times New Roman" w:cs="Times New Roman"/>
          <w:b/>
          <w:bCs/>
          <w:i/>
          <w:iCs/>
          <w:szCs w:val="24"/>
          <w:lang w:val="es-CO" w:eastAsia="es-ES"/>
        </w:rPr>
        <w:t>retención en la fuente</w:t>
      </w:r>
      <w:r w:rsidRPr="00AC0D4D">
        <w:rPr>
          <w:rFonts w:eastAsia="Times New Roman" w:cs="Times New Roman"/>
          <w:i/>
          <w:iCs/>
          <w:szCs w:val="24"/>
          <w:lang w:val="es-CO" w:eastAsia="es-ES"/>
        </w:rPr>
        <w:t> sobre los dividendos distribuidos por sociedades en Colombia.</w:t>
      </w:r>
    </w:p>
    <w:p w:rsidR="00AC0D4D" w:rsidRPr="00AC0D4D" w:rsidRDefault="00AC0D4D" w:rsidP="00AC0D4D">
      <w:pPr>
        <w:spacing w:line="240" w:lineRule="auto"/>
        <w:ind w:left="284"/>
        <w:rPr>
          <w:rFonts w:eastAsia="Times New Roman" w:cs="Times New Roman"/>
          <w:szCs w:val="24"/>
          <w:lang w:eastAsia="es-ES"/>
        </w:rPr>
      </w:pPr>
      <w:r w:rsidRPr="00AC0D4D">
        <w:rPr>
          <w:rFonts w:eastAsia="Times New Roman" w:cs="Times New Roman"/>
          <w:i/>
          <w:iCs/>
          <w:szCs w:val="24"/>
          <w:lang w:val="es-CO" w:eastAsia="es-ES"/>
        </w:rPr>
        <w:t> </w:t>
      </w:r>
    </w:p>
    <w:p w:rsidR="00AC0D4D" w:rsidRPr="00AC0D4D" w:rsidRDefault="00AC0D4D" w:rsidP="00AC0D4D">
      <w:pPr>
        <w:spacing w:line="240" w:lineRule="auto"/>
        <w:ind w:left="284"/>
        <w:rPr>
          <w:rFonts w:eastAsia="Times New Roman" w:cs="Times New Roman"/>
          <w:szCs w:val="24"/>
          <w:lang w:eastAsia="es-ES"/>
        </w:rPr>
      </w:pPr>
      <w:r w:rsidRPr="00AC0D4D">
        <w:rPr>
          <w:rFonts w:eastAsia="Times New Roman" w:cs="Times New Roman"/>
          <w:b/>
          <w:bCs/>
          <w:i/>
          <w:iCs/>
          <w:szCs w:val="24"/>
          <w:lang w:val="es-CO" w:eastAsia="es-ES"/>
        </w:rPr>
        <w:t>PARÁGRAFO 3o.</w:t>
      </w:r>
      <w:r w:rsidRPr="00AC0D4D">
        <w:rPr>
          <w:rFonts w:eastAsia="Times New Roman" w:cs="Times New Roman"/>
          <w:i/>
          <w:iCs/>
          <w:szCs w:val="24"/>
          <w:lang w:val="es-CO" w:eastAsia="es-ES"/>
        </w:rPr>
        <w:t> Los dividendos que se distribuyen dentro de los grupos empresariales o dentro de sociedades en situación de control debidamente registrados ante la Cámara de Comercio, no estarán sujetos a la </w:t>
      </w:r>
      <w:r w:rsidRPr="00AC0D4D">
        <w:rPr>
          <w:rFonts w:eastAsia="Times New Roman" w:cs="Times New Roman"/>
          <w:b/>
          <w:bCs/>
          <w:i/>
          <w:iCs/>
          <w:szCs w:val="24"/>
          <w:lang w:val="es-CO" w:eastAsia="es-ES"/>
        </w:rPr>
        <w:t>retención en la fuente</w:t>
      </w:r>
      <w:r w:rsidRPr="00AC0D4D">
        <w:rPr>
          <w:rFonts w:eastAsia="Times New Roman" w:cs="Times New Roman"/>
          <w:i/>
          <w:iCs/>
          <w:szCs w:val="24"/>
          <w:lang w:val="es-CO" w:eastAsia="es-ES"/>
        </w:rPr>
        <w:t> regulada en este artículo. Lo anterior, siempre y cuando no se trate de una entidad intermedia dispuesta para el diferimiento del impuesto sobre los dividendos.”</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i/>
          <w:iCs/>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Nótese que la carga tributaria del 7,5% consagrada en el </w:t>
      </w:r>
      <w:hyperlink r:id="rId10" w:tooltip="Estatuto Tributario CETA" w:history="1">
        <w:r w:rsidRPr="00AC0D4D">
          <w:rPr>
            <w:rFonts w:eastAsia="Times New Roman" w:cs="Times New Roman"/>
            <w:szCs w:val="24"/>
            <w:u w:val="single"/>
            <w:lang w:val="es-CO" w:eastAsia="es-ES"/>
          </w:rPr>
          <w:t>artículo 242-1</w:t>
        </w:r>
      </w:hyperlink>
      <w:r w:rsidRPr="00AC0D4D">
        <w:rPr>
          <w:rFonts w:eastAsia="Times New Roman" w:cs="Times New Roman"/>
          <w:szCs w:val="24"/>
          <w:lang w:val="es-CO" w:eastAsia="es-ES"/>
        </w:rPr>
        <w:t> del Estatuto Tributario tiene la naturaleza de (i) ingreso no constitutivo de renta ni ganancia ocasional y (</w:t>
      </w:r>
      <w:proofErr w:type="spellStart"/>
      <w:r w:rsidRPr="00AC0D4D">
        <w:rPr>
          <w:rFonts w:eastAsia="Times New Roman" w:cs="Times New Roman"/>
          <w:szCs w:val="24"/>
          <w:lang w:val="es-CO" w:eastAsia="es-ES"/>
        </w:rPr>
        <w:t>ii</w:t>
      </w:r>
      <w:proofErr w:type="spellEnd"/>
      <w:r w:rsidRPr="00AC0D4D">
        <w:rPr>
          <w:rFonts w:eastAsia="Times New Roman" w:cs="Times New Roman"/>
          <w:szCs w:val="24"/>
          <w:lang w:val="es-CO" w:eastAsia="es-ES"/>
        </w:rPr>
        <w:t>) el monto retenido a la sociedad nacional que recibe los dividendos constituye un crédito trasladable al beneficiario final, por lo que se reitera su naturaleza de no constitutivo de renta ni ganancia ocasional para el accionista sociedad nacional.</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A su vez, el artículo 1.2.6.8 del Decreto 1625 de 2016, de conformidad con el </w:t>
      </w:r>
      <w:hyperlink r:id="rId11" w:tooltip="Estatuto Tributario CETA" w:history="1">
        <w:r w:rsidRPr="00AC0D4D">
          <w:rPr>
            <w:rFonts w:eastAsia="Times New Roman" w:cs="Times New Roman"/>
            <w:szCs w:val="24"/>
            <w:u w:val="single"/>
            <w:lang w:val="es-CO" w:eastAsia="es-ES"/>
          </w:rPr>
          <w:t>artículo 365</w:t>
        </w:r>
      </w:hyperlink>
      <w:r w:rsidRPr="00AC0D4D">
        <w:rPr>
          <w:rFonts w:eastAsia="Times New Roman" w:cs="Times New Roman"/>
          <w:szCs w:val="24"/>
          <w:lang w:val="es-CO" w:eastAsia="es-ES"/>
        </w:rPr>
        <w:t> del Estatuto Tributario, establece que </w:t>
      </w:r>
      <w:r w:rsidRPr="00AC0D4D">
        <w:rPr>
          <w:rFonts w:eastAsia="Times New Roman" w:cs="Times New Roman"/>
          <w:i/>
          <w:iCs/>
          <w:szCs w:val="24"/>
          <w:lang w:val="es-CO" w:eastAsia="es-ES"/>
        </w:rPr>
        <w:t>"(...) No procederá la autorretención aquí prevista, sobre los pagos o abonos en cuenta que no se encuentran gravados con el impuesto sobre la renta y complementario".</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Teniendo en cuenta las anteriores consideraciones, se concluye que la tarifa del 7,5% a título de retención en la fuente, de conformidad con el </w:t>
      </w:r>
      <w:hyperlink r:id="rId12" w:tooltip="Estatuto Tributario CETA" w:history="1">
        <w:r w:rsidRPr="00AC0D4D">
          <w:rPr>
            <w:rFonts w:eastAsia="Times New Roman" w:cs="Times New Roman"/>
            <w:szCs w:val="24"/>
            <w:u w:val="single"/>
            <w:lang w:val="es-CO" w:eastAsia="es-ES"/>
          </w:rPr>
          <w:t>artículo 242-1</w:t>
        </w:r>
      </w:hyperlink>
      <w:r w:rsidRPr="00AC0D4D">
        <w:rPr>
          <w:rFonts w:eastAsia="Times New Roman" w:cs="Times New Roman"/>
          <w:szCs w:val="24"/>
          <w:lang w:val="es-CO" w:eastAsia="es-ES"/>
        </w:rPr>
        <w:t> del Estatuto Tributario, no se encuentra sometida a la autorretención en la fuente de que trata el parágrafo 2 del </w:t>
      </w:r>
      <w:hyperlink r:id="rId13" w:tooltip="Estatuto Tributario CETA" w:history="1">
        <w:r w:rsidRPr="00AC0D4D">
          <w:rPr>
            <w:rFonts w:eastAsia="Times New Roman" w:cs="Times New Roman"/>
            <w:szCs w:val="24"/>
            <w:u w:val="single"/>
            <w:lang w:val="es-CO" w:eastAsia="es-ES"/>
          </w:rPr>
          <w:t>artículo 365</w:t>
        </w:r>
      </w:hyperlink>
      <w:r w:rsidRPr="00AC0D4D">
        <w:rPr>
          <w:rFonts w:eastAsia="Times New Roman" w:cs="Times New Roman"/>
          <w:szCs w:val="24"/>
          <w:lang w:val="es-CO" w:eastAsia="es-ES"/>
        </w:rPr>
        <w:t> del Estatuto Tributario y los artículos 1.2.6.6 y siguientes del Decreto 1625 de 2016.</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Atentamente,</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 </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b/>
          <w:bCs/>
          <w:szCs w:val="24"/>
          <w:lang w:val="es-CO" w:eastAsia="es-ES"/>
        </w:rPr>
        <w:t>PABLO EMILIO MENDOZA VELILLA</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Subdirector de Gestión Normativa y Doctrina (E)</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Dirección de Gestión Jurídica</w:t>
      </w:r>
    </w:p>
    <w:p w:rsidR="00AC0D4D" w:rsidRPr="00AC0D4D" w:rsidRDefault="00AC0D4D" w:rsidP="00AC0D4D">
      <w:pPr>
        <w:spacing w:line="240" w:lineRule="auto"/>
        <w:rPr>
          <w:rFonts w:eastAsia="Times New Roman" w:cs="Times New Roman"/>
          <w:szCs w:val="24"/>
          <w:lang w:eastAsia="es-ES"/>
        </w:rPr>
      </w:pPr>
      <w:r w:rsidRPr="00AC0D4D">
        <w:rPr>
          <w:rFonts w:eastAsia="Times New Roman" w:cs="Times New Roman"/>
          <w:szCs w:val="24"/>
          <w:lang w:val="es-CO" w:eastAsia="es-ES"/>
        </w:rPr>
        <w:t>UAE-Dirección de Impuestos y Aduanas Nacionales</w:t>
      </w:r>
    </w:p>
    <w:p w:rsidR="00AC0D4D" w:rsidRPr="00AC0D4D" w:rsidRDefault="00AC0D4D" w:rsidP="00AC0D4D">
      <w:pPr>
        <w:spacing w:after="285" w:line="240" w:lineRule="auto"/>
        <w:rPr>
          <w:rFonts w:eastAsia="Times New Roman" w:cs="Times New Roman"/>
          <w:szCs w:val="24"/>
          <w:lang w:eastAsia="es-ES"/>
        </w:rPr>
      </w:pPr>
      <w:r w:rsidRPr="00AC0D4D">
        <w:rPr>
          <w:rFonts w:eastAsia="Times New Roman" w:cs="Times New Roman"/>
          <w:szCs w:val="24"/>
          <w:lang w:eastAsia="es-ES"/>
        </w:rPr>
        <w:t> </w:t>
      </w:r>
    </w:p>
    <w:p w:rsidR="007F5CC8" w:rsidRPr="00AC0D4D" w:rsidRDefault="007F5CC8">
      <w:pPr>
        <w:rPr>
          <w:rFonts w:cs="Times New Roman"/>
          <w:szCs w:val="24"/>
        </w:rPr>
      </w:pPr>
    </w:p>
    <w:sectPr w:rsidR="007F5CC8" w:rsidRPr="00AC0D4D"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4D"/>
    <w:rsid w:val="001E311E"/>
    <w:rsid w:val="00434AE6"/>
    <w:rsid w:val="007F5CC8"/>
    <w:rsid w:val="008779BE"/>
    <w:rsid w:val="00AC0D4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0706"/>
  <w15:chartTrackingRefBased/>
  <w15:docId w15:val="{11FC8287-4070-43D7-9E32-F2D65EF5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5114">
      <w:bodyDiv w:val="1"/>
      <w:marLeft w:val="0"/>
      <w:marRight w:val="0"/>
      <w:marTop w:val="0"/>
      <w:marBottom w:val="0"/>
      <w:divBdr>
        <w:top w:val="none" w:sz="0" w:space="0" w:color="auto"/>
        <w:left w:val="none" w:sz="0" w:space="0" w:color="auto"/>
        <w:bottom w:val="none" w:sz="0" w:space="0" w:color="auto"/>
        <w:right w:val="none" w:sz="0" w:space="0" w:color="auto"/>
      </w:divBdr>
    </w:div>
    <w:div w:id="14256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8" TargetMode="External"/><Relationship Id="rId13" Type="http://schemas.openxmlformats.org/officeDocument/2006/relationships/hyperlink" Target="https://www.ceta.org.co/html/vista_de_un_articulo.asp?Norma=45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88" TargetMode="External"/><Relationship Id="rId12" Type="http://schemas.openxmlformats.org/officeDocument/2006/relationships/hyperlink" Target="https://www.ceta.org.co/html/vista_de_un_articulo.asp?Norma=604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60481" TargetMode="External"/><Relationship Id="rId11" Type="http://schemas.openxmlformats.org/officeDocument/2006/relationships/hyperlink" Target="https://www.ceta.org.co/html/vista_de_un_articulo.asp?Norma=454" TargetMode="External"/><Relationship Id="rId5" Type="http://schemas.openxmlformats.org/officeDocument/2006/relationships/hyperlink" Target="https://www.ceta.org.co/html/vista_de_un_articulo.asp?Norma=60481" TargetMode="External"/><Relationship Id="rId15" Type="http://schemas.openxmlformats.org/officeDocument/2006/relationships/theme" Target="theme/theme1.xml"/><Relationship Id="rId10" Type="http://schemas.openxmlformats.org/officeDocument/2006/relationships/hyperlink" Target="https://www.ceta.org.co/html/vista_de_un_articulo.asp?Norma=60481" TargetMode="External"/><Relationship Id="rId4" Type="http://schemas.openxmlformats.org/officeDocument/2006/relationships/hyperlink" Target="https://www.ceta.org.co/html/vista_de_un_articulo.asp?Norma=88" TargetMode="External"/><Relationship Id="rId9" Type="http://schemas.openxmlformats.org/officeDocument/2006/relationships/hyperlink" Target="https://www.ceta.org.co/html/vista_de_un_articulo.asp?Norma=31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942</Words>
  <Characters>5184</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2020-04-02T20:53:00Z</dcterms:created>
  <dcterms:modified xsi:type="dcterms:W3CDTF">2020-04-02T20:56:00Z</dcterms:modified>
</cp:coreProperties>
</file>